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宋体" w:hAnsi="宋体" w:eastAsia="宋体" w:cs="宋体"/>
          <w:b/>
          <w:bCs/>
          <w:sz w:val="52"/>
          <w:szCs w:val="52"/>
          <w:lang w:eastAsia="zh-CN"/>
        </w:rPr>
      </w:pPr>
    </w:p>
    <w:p>
      <w:pPr>
        <w:jc w:val="right"/>
        <w:rPr>
          <w:rFonts w:hint="eastAsia" w:ascii="宋体" w:hAnsi="宋体" w:eastAsia="宋体" w:cs="宋体"/>
          <w:b/>
          <w:bCs/>
          <w:sz w:val="52"/>
          <w:szCs w:val="52"/>
          <w:lang w:eastAsia="zh-CN"/>
        </w:rPr>
      </w:pPr>
    </w:p>
    <w:p>
      <w:pPr>
        <w:jc w:val="right"/>
        <w:rPr>
          <w:rFonts w:hint="eastAsia" w:ascii="宋体" w:hAnsi="宋体" w:eastAsia="宋体" w:cs="宋体"/>
          <w:b/>
          <w:bCs/>
          <w:sz w:val="52"/>
          <w:szCs w:val="52"/>
          <w:lang w:eastAsia="zh-CN"/>
        </w:rPr>
      </w:pPr>
    </w:p>
    <w:p>
      <w:pPr>
        <w:jc w:val="right"/>
        <w:rPr>
          <w:rFonts w:hint="eastAsia" w:ascii="宋体" w:hAnsi="宋体" w:eastAsia="宋体" w:cs="宋体"/>
          <w:b/>
          <w:bCs/>
          <w:sz w:val="52"/>
          <w:szCs w:val="52"/>
          <w:lang w:eastAsia="zh-CN"/>
        </w:rPr>
      </w:pPr>
    </w:p>
    <w:p>
      <w:pPr>
        <w:jc w:val="center"/>
        <w:rPr>
          <w:rFonts w:hint="eastAsia" w:ascii="宋体" w:hAnsi="宋体" w:eastAsia="宋体" w:cs="宋体"/>
          <w:b/>
          <w:bCs/>
          <w:sz w:val="52"/>
          <w:szCs w:val="52"/>
        </w:rPr>
      </w:pPr>
      <w:r>
        <w:rPr>
          <w:rFonts w:hint="eastAsia" w:ascii="宋体" w:hAnsi="宋体" w:eastAsia="宋体" w:cs="宋体"/>
          <w:b/>
          <w:bCs/>
          <w:sz w:val="52"/>
          <w:szCs w:val="52"/>
          <w:lang w:eastAsia="zh-CN"/>
        </w:rPr>
        <w:t>建设</w:t>
      </w:r>
      <w:r>
        <w:rPr>
          <w:rFonts w:hint="eastAsia" w:ascii="宋体" w:hAnsi="宋体" w:eastAsia="宋体" w:cs="宋体"/>
          <w:b/>
          <w:bCs/>
          <w:sz w:val="52"/>
          <w:szCs w:val="52"/>
        </w:rPr>
        <w:t>项目竣工环境保护验收报告</w:t>
      </w:r>
    </w:p>
    <w:p>
      <w:pPr>
        <w:jc w:val="right"/>
        <w:rPr>
          <w:rFonts w:hint="eastAsia" w:ascii="宋体" w:hAnsi="宋体" w:eastAsia="宋体" w:cs="宋体"/>
          <w:b/>
          <w:bCs/>
          <w:sz w:val="52"/>
          <w:szCs w:val="52"/>
        </w:rPr>
      </w:pPr>
    </w:p>
    <w:p>
      <w:pPr>
        <w:jc w:val="right"/>
        <w:rPr>
          <w:rFonts w:hint="eastAsia" w:ascii="宋体" w:hAnsi="宋体" w:eastAsia="宋体" w:cs="宋体"/>
          <w:b/>
          <w:bCs/>
          <w:sz w:val="52"/>
          <w:szCs w:val="52"/>
        </w:rPr>
      </w:pPr>
    </w:p>
    <w:p>
      <w:pPr>
        <w:jc w:val="right"/>
        <w:rPr>
          <w:rFonts w:hint="eastAsia" w:ascii="宋体" w:hAnsi="宋体" w:eastAsia="宋体" w:cs="宋体"/>
          <w:b/>
          <w:bCs/>
          <w:sz w:val="52"/>
          <w:szCs w:val="52"/>
        </w:rPr>
      </w:pPr>
    </w:p>
    <w:tbl>
      <w:tblPr>
        <w:tblStyle w:val="12"/>
        <w:tblW w:w="8731" w:type="dxa"/>
        <w:jc w:val="center"/>
        <w:tblInd w:w="0" w:type="dxa"/>
        <w:tblLayout w:type="fixed"/>
        <w:tblCellMar>
          <w:top w:w="0" w:type="dxa"/>
          <w:left w:w="108" w:type="dxa"/>
          <w:bottom w:w="0" w:type="dxa"/>
          <w:right w:w="108" w:type="dxa"/>
        </w:tblCellMar>
      </w:tblPr>
      <w:tblGrid>
        <w:gridCol w:w="1902"/>
        <w:gridCol w:w="6829"/>
      </w:tblGrid>
      <w:tr>
        <w:tblPrEx>
          <w:tblLayout w:type="fixed"/>
          <w:tblCellMar>
            <w:top w:w="0" w:type="dxa"/>
            <w:left w:w="108" w:type="dxa"/>
            <w:bottom w:w="0" w:type="dxa"/>
            <w:right w:w="108" w:type="dxa"/>
          </w:tblCellMar>
        </w:tblPrEx>
        <w:trPr>
          <w:trHeight w:val="1680" w:hRule="atLeast"/>
          <w:jc w:val="center"/>
        </w:trPr>
        <w:tc>
          <w:tcPr>
            <w:tcW w:w="1902" w:type="dxa"/>
            <w:vAlign w:val="center"/>
          </w:tcPr>
          <w:p>
            <w:pPr>
              <w:jc w:val="center"/>
              <w:rPr>
                <w:b/>
                <w:sz w:val="30"/>
              </w:rPr>
            </w:pPr>
            <w:r>
              <w:rPr>
                <w:rFonts w:hint="eastAsia"/>
                <w:b/>
                <w:sz w:val="30"/>
              </w:rPr>
              <w:t>项目名称：</w:t>
            </w:r>
          </w:p>
        </w:tc>
        <w:tc>
          <w:tcPr>
            <w:tcW w:w="6829" w:type="dxa"/>
            <w:vAlign w:val="center"/>
          </w:tcPr>
          <w:p>
            <w:pPr>
              <w:pStyle w:val="5"/>
              <w:ind w:left="0" w:leftChars="0" w:firstLine="0" w:firstLineChars="0"/>
              <w:jc w:val="center"/>
              <w:rPr>
                <w:rFonts w:hint="eastAsia" w:ascii="宋体" w:hAnsi="宋体" w:eastAsia="宋体" w:cs="宋体"/>
                <w:b/>
                <w:bCs/>
                <w:sz w:val="28"/>
                <w:szCs w:val="28"/>
                <w:u w:val="none"/>
                <w:lang w:val="en-US" w:eastAsia="zh-CN"/>
              </w:rPr>
            </w:pPr>
          </w:p>
          <w:p>
            <w:pPr>
              <w:pStyle w:val="5"/>
              <w:ind w:left="0" w:leftChars="0" w:firstLine="0" w:firstLineChars="0"/>
              <w:jc w:val="center"/>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自承式轻质钢筋桁架楼承板（第五代）生产线项目</w:t>
            </w:r>
            <w:r>
              <w:rPr>
                <w:rFonts w:hint="eastAsia" w:ascii="宋体" w:hAnsi="宋体" w:eastAsia="宋体" w:cs="宋体"/>
                <w:b/>
                <w:bCs/>
                <w:sz w:val="28"/>
                <w:szCs w:val="28"/>
                <w:u w:val="none"/>
                <w:lang w:val="en-US" w:eastAsia="zh-CN"/>
              </w:rPr>
              <mc:AlternateContent>
                <mc:Choice Requires="wps">
                  <w:drawing>
                    <wp:anchor distT="0" distB="0" distL="114300" distR="114300" simplePos="0" relativeHeight="93799424" behindDoc="0" locked="0" layoutInCell="1" allowOverlap="1">
                      <wp:simplePos x="0" y="0"/>
                      <wp:positionH relativeFrom="column">
                        <wp:posOffset>-22860</wp:posOffset>
                      </wp:positionH>
                      <wp:positionV relativeFrom="paragraph">
                        <wp:posOffset>368935</wp:posOffset>
                      </wp:positionV>
                      <wp:extent cx="4267200" cy="6350"/>
                      <wp:effectExtent l="0" t="0" r="0" b="0"/>
                      <wp:wrapNone/>
                      <wp:docPr id="91" name="直线 77"/>
                      <wp:cNvGraphicFramePr/>
                      <a:graphic xmlns:a="http://schemas.openxmlformats.org/drawingml/2006/main">
                        <a:graphicData uri="http://schemas.microsoft.com/office/word/2010/wordprocessingShape">
                          <wps:wsp>
                            <wps:cNvCnPr/>
                            <wps:spPr>
                              <a:xfrm flipV="1">
                                <a:off x="0" y="0"/>
                                <a:ext cx="4267200" cy="6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 o:spid="_x0000_s1026" o:spt="20" style="position:absolute;left:0pt;flip:y;margin-left:-1.8pt;margin-top:29.05pt;height:0.5pt;width:336pt;z-index:93799424;mso-width-relative:page;mso-height-relative:page;" filled="f" stroked="t" coordsize="21600,21600" o:gfxdata="UEsDBAoAAAAAAIdO4kAAAAAAAAAAAAAAAAAEAAAAZHJzL1BLAwQUAAAACACHTuJAVFLLVNcAAAAI&#10;AQAADwAAAGRycy9kb3ducmV2LnhtbE2PwU7DMBBE70j8g7VI3Fo7LURpGqdCCLggIVECZyfeJhHx&#10;OordtPw9y4keZ2c087bYnd0gZpxC70lDslQgkBpve2o1VB/PiwxEiIasGTyhhh8MsCuvrwqTW3+i&#10;d5z3sRVcQiE3GroYx1zK0HToTFj6EYm9g5+ciSynVtrJnLjcDXKlVCqd6YkXOjPiY4fN9/7oNDx8&#10;vT6t3+ba+cFu2urTukq9rLS+vUnUFkTEc/wPwx8+o0PJTLU/kg1i0LBYp5zUcJ8lINhP0+wORM2H&#10;TQKyLOTlA+UvUEsDBBQAAAAIAIdO4kDXs+s12QEAAJwDAAAOAAAAZHJzL2Uyb0RvYy54bWytU0uO&#10;EzEQ3SNxB8t70kkgCbTSmcWEYYMgEp99xZ9uS/7J5UknZ+EarNhwnLkGZSeE3wYhemHZrvKreq9e&#10;r2+OzrKDSmiC7/hsMuVMeRGk8X3HP7y/e/KcM8zgJdjgVcdPCvnN5vGj9RhbNQ9DsFIlRiAe2zF2&#10;fMg5tk2DYlAOcBKi8hTUITnIdEx9IxOMhO5sM59Ol80YkowpCIVIt9tzkG8qvtZK5Ldao8rMdpx6&#10;y3VNdd2Xtdmsoe0TxMGISxvwD104MJ6KXqG2kIHdJ/MHlDMiBQw6T0RwTdDaCFU5EJvZ9Dc27waI&#10;qnIhcTBeZcL/ByveHHaJGdnxFzPOPDia0cOnzw9fvrLVqqgzRmwp6dbv0uWEcZcK1aNOjmlr4kca&#10;fCVPdNixanu6aquOmQm6fDZfrmhgnAmKLZ8uqvTNGaWgxYT5lQqOlU3HrfGFObRweI2ZKlPq95Ry&#10;bT0bqefFfEGIQMbRFjJtXSQq6Pv6FoM18s5YW15g6ve3NrEDFCvUr/Aj3F/SSpEt4HDOq6GzSQYF&#10;8qWXLJ8iaeTJzby04JTkzCoyf9kRILQZjP2bTCptPXVQJD6LWnb7IE80kvuYTD+QErPaZYmQBWq/&#10;F7sWj/18rkg/fqrN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RSy1TXAAAACAEAAA8AAAAAAAAA&#10;AQAgAAAAIgAAAGRycy9kb3ducmV2LnhtbFBLAQIUABQAAAAIAIdO4kDXs+s12QEAAJwDAAAOAAAA&#10;AAAAAAEAIAAAACYBAABkcnMvZTJvRG9jLnhtbFBLBQYAAAAABgAGAFkBAABxBQAAAAA=&#10;">
                      <v:fill on="f" focussize="0,0"/>
                      <v:stroke color="#000000" joinstyle="round"/>
                      <v:imagedata o:title=""/>
                      <o:lock v:ext="edit" aspectratio="f"/>
                    </v:line>
                  </w:pict>
                </mc:Fallback>
              </mc:AlternateContent>
            </w:r>
          </w:p>
        </w:tc>
      </w:tr>
      <w:tr>
        <w:tblPrEx>
          <w:tblLayout w:type="fixed"/>
          <w:tblCellMar>
            <w:top w:w="0" w:type="dxa"/>
            <w:left w:w="108" w:type="dxa"/>
            <w:bottom w:w="0" w:type="dxa"/>
            <w:right w:w="108" w:type="dxa"/>
          </w:tblCellMar>
        </w:tblPrEx>
        <w:trPr>
          <w:trHeight w:val="1680" w:hRule="atLeast"/>
          <w:jc w:val="center"/>
        </w:trPr>
        <w:tc>
          <w:tcPr>
            <w:tcW w:w="1902" w:type="dxa"/>
            <w:vAlign w:val="center"/>
          </w:tcPr>
          <w:p>
            <w:pPr>
              <w:jc w:val="center"/>
              <w:rPr>
                <w:b/>
                <w:sz w:val="30"/>
              </w:rPr>
            </w:pPr>
            <w:r>
              <w:rPr>
                <w:rFonts w:hint="eastAsia"/>
                <w:b/>
                <w:sz w:val="30"/>
                <w:lang w:eastAsia="zh-CN"/>
              </w:rPr>
              <w:t>建设</w:t>
            </w:r>
            <w:r>
              <w:rPr>
                <w:rFonts w:hint="eastAsia"/>
                <w:b/>
                <w:sz w:val="30"/>
              </w:rPr>
              <w:t>单位：</w:t>
            </w:r>
          </w:p>
        </w:tc>
        <w:tc>
          <w:tcPr>
            <w:tcW w:w="6829" w:type="dxa"/>
            <w:vAlign w:val="center"/>
          </w:tcPr>
          <w:p>
            <w:pPr>
              <w:pStyle w:val="5"/>
              <w:ind w:left="0" w:leftChars="0" w:firstLine="0" w:firstLineChars="0"/>
              <w:jc w:val="center"/>
              <w:rPr>
                <w:rFonts w:hint="eastAsia" w:ascii="宋体" w:hAnsi="宋体" w:eastAsia="宋体" w:cs="宋体"/>
                <w:b/>
                <w:bCs/>
                <w:sz w:val="28"/>
                <w:szCs w:val="28"/>
                <w:u w:val="none"/>
                <w:lang w:val="en-US" w:eastAsia="zh-CN"/>
              </w:rPr>
            </w:pPr>
          </w:p>
          <w:p>
            <w:pPr>
              <w:pStyle w:val="5"/>
              <w:ind w:left="0" w:leftChars="0" w:firstLine="0" w:firstLineChars="0"/>
              <w:jc w:val="center"/>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江苏银环新材料科技有限公司</w:t>
            </w:r>
            <w:r>
              <w:rPr>
                <w:rFonts w:hint="eastAsia" w:ascii="宋体" w:hAnsi="宋体" w:eastAsia="宋体" w:cs="宋体"/>
                <w:b/>
                <w:bCs/>
                <w:sz w:val="28"/>
                <w:szCs w:val="28"/>
                <w:u w:val="none"/>
                <w:lang w:val="en-US" w:eastAsia="zh-CN"/>
              </w:rPr>
              <mc:AlternateContent>
                <mc:Choice Requires="wps">
                  <w:drawing>
                    <wp:anchor distT="0" distB="0" distL="114300" distR="114300" simplePos="0" relativeHeight="93662208" behindDoc="0" locked="0" layoutInCell="1" allowOverlap="1">
                      <wp:simplePos x="0" y="0"/>
                      <wp:positionH relativeFrom="column">
                        <wp:posOffset>-22860</wp:posOffset>
                      </wp:positionH>
                      <wp:positionV relativeFrom="paragraph">
                        <wp:posOffset>368935</wp:posOffset>
                      </wp:positionV>
                      <wp:extent cx="4267200" cy="6350"/>
                      <wp:effectExtent l="0" t="0" r="0" b="0"/>
                      <wp:wrapNone/>
                      <wp:docPr id="92" name="直线 3"/>
                      <wp:cNvGraphicFramePr/>
                      <a:graphic xmlns:a="http://schemas.openxmlformats.org/drawingml/2006/main">
                        <a:graphicData uri="http://schemas.microsoft.com/office/word/2010/wordprocessingShape">
                          <wps:wsp>
                            <wps:cNvCnPr/>
                            <wps:spPr>
                              <a:xfrm flipV="1">
                                <a:off x="0" y="0"/>
                                <a:ext cx="4267200" cy="6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flip:y;margin-left:-1.8pt;margin-top:29.05pt;height:0.5pt;width:336pt;z-index:93662208;mso-width-relative:page;mso-height-relative:page;" filled="f" stroked="t" coordsize="21600,21600" o:gfxdata="UEsDBAoAAAAAAIdO4kAAAAAAAAAAAAAAAAAEAAAAZHJzL1BLAwQUAAAACACHTuJAVFLLVNcAAAAI&#10;AQAADwAAAGRycy9kb3ducmV2LnhtbE2PwU7DMBBE70j8g7VI3Fo7LURpGqdCCLggIVECZyfeJhHx&#10;OordtPw9y4keZ2c087bYnd0gZpxC70lDslQgkBpve2o1VB/PiwxEiIasGTyhhh8MsCuvrwqTW3+i&#10;d5z3sRVcQiE3GroYx1zK0HToTFj6EYm9g5+ciSynVtrJnLjcDXKlVCqd6YkXOjPiY4fN9/7oNDx8&#10;vT6t3+ba+cFu2urTukq9rLS+vUnUFkTEc/wPwx8+o0PJTLU/kg1i0LBYp5zUcJ8lINhP0+wORM2H&#10;TQKyLOTlA+UvUEsDBBQAAAAIAIdO4kCdqBOg2QEAAJsDAAAOAAAAZHJzL2Uyb0RvYy54bWytU0uO&#10;EzEQ3SNxB8t70kmGBKaVziwmDBsEkfjsK/50W/JPLk86OQvXYMWG48w1KDshMLBBiF5Ytqv8qt6r&#10;16ubg7NsrxKa4Ds+m0w5U14EaXzf8Y8f7p695AwzeAk2eNXxo0J+s376ZDXGVs3DEKxUiRGIx3aM&#10;HR9yjm3ToBiUA5yEqDwFdUgOMh1T38gEI6E728yn02UzhiRjCkIh0u3mFOTriq+1Evmd1qgysx2n&#10;3nJdU113ZW3WK2j7BHEw4twG/EMXDoynoheoDWRg98n8AeWMSAGDzhMRXBO0NkJVDsRmNv2NzfsB&#10;oqpcSByMF5nw/8GKt/ttYkZ2/HrOmQdHM3r4/OXh6zd2VcQZI7aUc+u36XzCuE2F6UEnx7Q18RPN&#10;vXInNuxQpT1epFWHzARdPp8vX9C8OBMUW14tqvLNCaWgxYT5tQqOlU3HrfGFOLSwf4OZKlPqj5Ry&#10;bT0bqeXFfEGIQL7RFjJtXSQm6Pv6FoM18s5YW15g6ne3NrE9FCfUr/Aj3EdppcgGcDjl1dDJI4MC&#10;+cpLlo+RJPJkZl5acEpyZhV5v+wIENoMxv5NJpW2njooEp9ELbtdkEeayH1Mph9IiVntskTIAbXf&#10;s1uLxX49V6Sf/9T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RSy1TXAAAACAEAAA8AAAAAAAAA&#10;AQAgAAAAIgAAAGRycy9kb3ducmV2LnhtbFBLAQIUABQAAAAIAIdO4kCdqBOg2QEAAJsDAAAOAAAA&#10;AAAAAAEAIAAAACYBAABkcnMvZTJvRG9jLnhtbFBLBQYAAAAABgAGAFkBAABxBQAAAAA=&#10;">
                      <v:fill on="f" focussize="0,0"/>
                      <v:stroke color="#000000" joinstyle="round"/>
                      <v:imagedata o:title=""/>
                      <o:lock v:ext="edit" aspectratio="f"/>
                    </v:line>
                  </w:pict>
                </mc:Fallback>
              </mc:AlternateContent>
            </w:r>
          </w:p>
        </w:tc>
      </w:tr>
    </w:tbl>
    <w:p>
      <w:pPr>
        <w:jc w:val="right"/>
        <w:rPr>
          <w:rFonts w:hint="eastAsia" w:ascii="宋体" w:hAnsi="宋体" w:eastAsia="宋体" w:cs="宋体"/>
          <w:b/>
          <w:bCs/>
          <w:sz w:val="52"/>
          <w:szCs w:val="52"/>
        </w:rPr>
      </w:pPr>
    </w:p>
    <w:p>
      <w:pPr>
        <w:jc w:val="right"/>
        <w:rPr>
          <w:rFonts w:hint="eastAsia" w:ascii="宋体" w:hAnsi="宋体" w:eastAsia="宋体" w:cs="宋体"/>
          <w:b/>
          <w:bCs/>
          <w:sz w:val="52"/>
          <w:szCs w:val="52"/>
        </w:rPr>
      </w:pPr>
    </w:p>
    <w:p>
      <w:pPr>
        <w:jc w:val="right"/>
        <w:rPr>
          <w:rFonts w:hint="eastAsia" w:ascii="宋体" w:hAnsi="宋体" w:eastAsia="宋体" w:cs="宋体"/>
          <w:b/>
          <w:bCs/>
          <w:sz w:val="52"/>
          <w:szCs w:val="52"/>
        </w:rPr>
      </w:pPr>
    </w:p>
    <w:p>
      <w:pPr>
        <w:jc w:val="right"/>
        <w:rPr>
          <w:rFonts w:hint="eastAsia" w:ascii="宋体" w:hAnsi="宋体" w:eastAsia="宋体" w:cs="宋体"/>
          <w:b/>
          <w:bCs/>
          <w:sz w:val="52"/>
          <w:szCs w:val="52"/>
        </w:rPr>
      </w:pPr>
    </w:p>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编制日期：二零一</w:t>
      </w:r>
      <w:r>
        <w:rPr>
          <w:rFonts w:hint="eastAsia" w:cs="宋体"/>
          <w:b/>
          <w:bCs/>
          <w:sz w:val="28"/>
          <w:szCs w:val="28"/>
          <w:lang w:eastAsia="zh-CN"/>
        </w:rPr>
        <w:t>九</w:t>
      </w:r>
      <w:r>
        <w:rPr>
          <w:rFonts w:hint="eastAsia" w:ascii="宋体" w:hAnsi="宋体" w:eastAsia="宋体" w:cs="宋体"/>
          <w:b/>
          <w:bCs/>
          <w:sz w:val="28"/>
          <w:szCs w:val="28"/>
          <w:lang w:eastAsia="zh-CN"/>
        </w:rPr>
        <w:t>年</w:t>
      </w:r>
      <w:r>
        <w:rPr>
          <w:rFonts w:hint="eastAsia" w:ascii="宋体" w:hAnsi="宋体" w:cs="宋体"/>
          <w:b/>
          <w:bCs/>
          <w:sz w:val="28"/>
          <w:szCs w:val="28"/>
          <w:lang w:eastAsia="zh-CN"/>
        </w:rPr>
        <w:t>一</w:t>
      </w:r>
      <w:r>
        <w:rPr>
          <w:rFonts w:hint="eastAsia" w:ascii="宋体" w:hAnsi="宋体" w:eastAsia="宋体" w:cs="宋体"/>
          <w:b/>
          <w:bCs/>
          <w:sz w:val="28"/>
          <w:szCs w:val="28"/>
          <w:lang w:eastAsia="zh-CN"/>
        </w:rPr>
        <w:t>月</w:t>
      </w:r>
    </w:p>
    <w:p>
      <w:pPr>
        <w:jc w:val="right"/>
        <w:rPr>
          <w:rFonts w:hint="eastAsia" w:ascii="宋体" w:hAnsi="宋体" w:eastAsia="宋体" w:cs="宋体"/>
          <w:color w:val="FF0000"/>
          <w:sz w:val="18"/>
          <w:szCs w:val="18"/>
          <w:lang w:eastAsia="zh-CN"/>
        </w:rPr>
      </w:pPr>
    </w:p>
    <w:p>
      <w:pPr>
        <w:jc w:val="right"/>
        <w:rPr>
          <w:rFonts w:hint="eastAsia" w:ascii="宋体" w:hAnsi="宋体" w:eastAsia="宋体" w:cs="宋体"/>
          <w:color w:val="auto"/>
          <w:sz w:val="18"/>
          <w:szCs w:val="18"/>
          <w:lang w:eastAsia="zh-CN"/>
        </w:rPr>
        <w:sectPr>
          <w:footerReference r:id="rId6" w:type="first"/>
          <w:headerReference r:id="rId3" w:type="default"/>
          <w:footerReference r:id="rId4" w:type="default"/>
          <w:footerReference r:id="rId5" w:type="even"/>
          <w:pgSz w:w="11906" w:h="16838"/>
          <w:pgMar w:top="1440" w:right="1588" w:bottom="1440" w:left="1588" w:header="851" w:footer="992" w:gutter="0"/>
          <w:pgBorders>
            <w:top w:val="none" w:sz="0" w:space="0"/>
            <w:left w:val="none" w:sz="0" w:space="0"/>
            <w:bottom w:val="none" w:sz="0" w:space="0"/>
            <w:right w:val="none" w:sz="0" w:space="0"/>
          </w:pgBorders>
          <w:pgNumType w:start="1"/>
          <w:cols w:space="720" w:num="1"/>
          <w:titlePg/>
          <w:docGrid w:linePitch="312" w:charSpace="0"/>
        </w:sect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目 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第一部分 验收监测报告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第二部分 验收意见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000000"/>
          <w:spacing w:val="0"/>
          <w:sz w:val="44"/>
          <w:szCs w:val="44"/>
          <w:shd w:val="clear" w:color="auto" w:fill="FFFFFF"/>
        </w:rPr>
        <w:sectPr>
          <w:footerReference r:id="rId9" w:type="first"/>
          <w:headerReference r:id="rId7" w:type="default"/>
          <w:footerReference r:id="rId8" w:type="default"/>
          <w:pgSz w:w="11906" w:h="16838"/>
          <w:pgMar w:top="1440" w:right="1588" w:bottom="1440" w:left="1588" w:header="851" w:footer="992" w:gutter="0"/>
          <w:pgBorders>
            <w:top w:val="none" w:sz="0" w:space="0"/>
            <w:left w:val="none" w:sz="0" w:space="0"/>
            <w:bottom w:val="none" w:sz="0" w:space="0"/>
            <w:right w:val="none" w:sz="0" w:space="0"/>
          </w:pgBorders>
          <w:pgNumType w:start="1"/>
          <w:cols w:space="720" w:num="1"/>
          <w:titlePg/>
          <w:docGrid w:linePitch="312" w:charSpace="0"/>
        </w:sectPr>
      </w:pPr>
      <w:r>
        <w:rPr>
          <w:rFonts w:hint="default" w:ascii="Helvetica Neue" w:hAnsi="Helvetica Neue" w:eastAsia="Helvetica Neue" w:cs="Helvetica Neue"/>
          <w:b w:val="0"/>
          <w:i w:val="0"/>
          <w:caps w:val="0"/>
          <w:color w:val="000000"/>
          <w:spacing w:val="0"/>
          <w:sz w:val="44"/>
          <w:szCs w:val="44"/>
          <w:shd w:val="clear" w:color="auto" w:fill="FFFFFF"/>
        </w:rPr>
        <w:t>第三部分 其他需要说明的事项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firstLine="0" w:firstLineChars="0"/>
        <w:jc w:val="center"/>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第一部分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firstLine="0" w:firstLineChars="0"/>
        <w:jc w:val="center"/>
        <w:rPr>
          <w:rFonts w:hint="eastAsia" w:ascii="宋体" w:hAnsi="宋体" w:eastAsia="宋体" w:cs="宋体"/>
          <w:color w:val="000000" w:themeColor="text1"/>
          <w:sz w:val="18"/>
          <w:szCs w:val="18"/>
          <w:lang w:eastAsia="zh-CN"/>
          <w14:textFill>
            <w14:solidFill>
              <w14:schemeClr w14:val="tx1"/>
            </w14:solidFill>
          </w14:textFill>
        </w:rPr>
        <w:sectPr>
          <w:pgSz w:w="11906" w:h="16838"/>
          <w:pgMar w:top="1440" w:right="1588" w:bottom="1440" w:left="1588" w:header="851" w:footer="992" w:gutter="0"/>
          <w:pgBorders>
            <w:top w:val="none" w:sz="0" w:space="0"/>
            <w:left w:val="none" w:sz="0" w:space="0"/>
            <w:bottom w:val="none" w:sz="0" w:space="0"/>
            <w:right w:val="none" w:sz="0" w:space="0"/>
          </w:pgBorders>
          <w:pgNumType w:start="1"/>
          <w:cols w:space="720" w:num="1"/>
          <w:titlePg/>
          <w:docGrid w:linePitch="312" w:charSpace="0"/>
        </w:sectPr>
      </w:pPr>
      <w:r>
        <w:rPr>
          <w:rFonts w:hint="default" w:ascii="Helvetica Neue" w:hAnsi="Helvetica Neue" w:eastAsia="Helvetica Neue" w:cs="Helvetica Neue"/>
          <w:b w:val="0"/>
          <w:i w:val="0"/>
          <w:caps w:val="0"/>
          <w:color w:val="000000"/>
          <w:spacing w:val="0"/>
          <w:sz w:val="44"/>
          <w:szCs w:val="44"/>
          <w:shd w:val="clear" w:color="auto" w:fill="FFFFFF"/>
        </w:rPr>
        <w:t>验收监测报</w:t>
      </w:r>
      <w:r>
        <w:rPr>
          <w:rFonts w:hint="eastAsia" w:ascii="Helvetica Neue" w:hAnsi="Helvetica Neue" w:eastAsia="宋体" w:cs="Helvetica Neue"/>
          <w:b w:val="0"/>
          <w:i w:val="0"/>
          <w:caps w:val="0"/>
          <w:color w:val="000000"/>
          <w:spacing w:val="0"/>
          <w:sz w:val="44"/>
          <w:szCs w:val="44"/>
          <w:shd w:val="clear" w:color="auto" w:fill="FFFFFF"/>
          <w:lang w:eastAsia="zh-CN"/>
        </w:rPr>
        <w:t>告</w:t>
      </w:r>
    </w:p>
    <w:p>
      <w:pPr>
        <w:rPr>
          <w:color w:val="FF0000"/>
        </w:rPr>
      </w:pPr>
    </w:p>
    <w:p>
      <w:pPr>
        <w:widowControl/>
        <w:jc w:val="left"/>
        <w:rPr>
          <w:rFonts w:ascii="宋体" w:hAnsi="宋体" w:cs="宋体"/>
          <w:color w:val="FF0000"/>
          <w:kern w:val="0"/>
          <w:sz w:val="24"/>
        </w:rPr>
      </w:pPr>
      <w:r>
        <w:rPr>
          <w:rFonts w:ascii="宋体" w:hAnsi="宋体" w:cs="宋体"/>
          <w:color w:val="FF0000"/>
          <w:kern w:val="0"/>
          <w:sz w:val="24"/>
        </w:rPr>
        <w:drawing>
          <wp:inline distT="0" distB="0" distL="0" distR="0">
            <wp:extent cx="1304925" cy="723900"/>
            <wp:effectExtent l="0" t="0" r="9525" b="0"/>
            <wp:docPr id="5" name="图片 5" descr=")1$Z5(NVD~FK8HYFI9NT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Z5(NVD~FK8HYFI9NTH)H"/>
                    <pic:cNvPicPr>
                      <a:picLocks noChangeAspect="1" noChangeArrowheads="1"/>
                    </pic:cNvPicPr>
                  </pic:nvPicPr>
                  <pic:blipFill>
                    <a:blip r:embed="rId33" cstate="print"/>
                    <a:srcRect/>
                    <a:stretch>
                      <a:fillRect/>
                    </a:stretch>
                  </pic:blipFill>
                  <pic:spPr>
                    <a:xfrm>
                      <a:off x="0" y="0"/>
                      <a:ext cx="1304925" cy="723900"/>
                    </a:xfrm>
                    <a:prstGeom prst="rect">
                      <a:avLst/>
                    </a:prstGeom>
                    <a:noFill/>
                    <a:ln w="9525">
                      <a:noFill/>
                      <a:miter lim="800000"/>
                      <a:headEnd/>
                      <a:tailEnd/>
                    </a:ln>
                  </pic:spPr>
                </pic:pic>
              </a:graphicData>
            </a:graphic>
          </wp:inline>
        </w:drawing>
      </w:r>
    </w:p>
    <w:p>
      <w:pPr>
        <w:widowControl/>
        <w:ind w:firstLine="360" w:firstLineChars="150"/>
        <w:jc w:val="left"/>
        <w:rPr>
          <w:rFonts w:ascii="宋体" w:hAnsi="宋体" w:cs="宋体"/>
          <w:color w:val="000000" w:themeColor="text1"/>
          <w:kern w:val="0"/>
          <w:sz w:val="24"/>
        </w:rPr>
      </w:pPr>
      <w:r>
        <w:rPr>
          <w:rFonts w:ascii="宋体" w:hAnsi="宋体" w:cs="宋体"/>
          <w:color w:val="000000" w:themeColor="text1"/>
          <w:kern w:val="0"/>
          <w:sz w:val="24"/>
        </w:rPr>
        <w:t xml:space="preserve">151012050368 </w:t>
      </w:r>
    </w:p>
    <w:p>
      <w:pPr>
        <w:rPr>
          <w:color w:val="000000" w:themeColor="text1"/>
        </w:rPr>
      </w:pPr>
    </w:p>
    <w:p>
      <w:pPr>
        <w:rPr>
          <w:color w:val="000000" w:themeColor="text1"/>
        </w:rPr>
      </w:pPr>
    </w:p>
    <w:p>
      <w:pPr>
        <w:rPr>
          <w:color w:val="000000" w:themeColor="text1"/>
        </w:rPr>
      </w:pPr>
    </w:p>
    <w:p>
      <w:pPr>
        <w:jc w:val="center"/>
        <w:rPr>
          <w:rFonts w:ascii="黑体" w:eastAsia="黑体"/>
          <w:color w:val="000000" w:themeColor="text1"/>
          <w:sz w:val="44"/>
        </w:rPr>
      </w:pPr>
      <w:r>
        <w:rPr>
          <w:rFonts w:hint="eastAsia" w:ascii="黑体" w:eastAsia="黑体"/>
          <w:color w:val="000000" w:themeColor="text1"/>
          <w:sz w:val="44"/>
        </w:rPr>
        <w:t>建设项目竣工环境保护</w:t>
      </w:r>
    </w:p>
    <w:p>
      <w:pPr>
        <w:jc w:val="center"/>
        <w:rPr>
          <w:b/>
          <w:color w:val="000000" w:themeColor="text1"/>
          <w:sz w:val="44"/>
        </w:rPr>
      </w:pPr>
      <w:r>
        <w:rPr>
          <w:rFonts w:hint="eastAsia" w:ascii="黑体" w:eastAsia="黑体"/>
          <w:color w:val="000000" w:themeColor="text1"/>
          <w:sz w:val="44"/>
        </w:rPr>
        <w:t>验收监测报告表</w:t>
      </w:r>
    </w:p>
    <w:p>
      <w:pPr>
        <w:jc w:val="center"/>
        <w:rPr>
          <w:b/>
          <w:bCs/>
          <w:color w:val="000000" w:themeColor="text1"/>
          <w:sz w:val="28"/>
        </w:rPr>
      </w:pPr>
      <w:r>
        <w:rPr>
          <w:rFonts w:hint="eastAsia"/>
          <w:b/>
          <w:bCs/>
          <w:color w:val="000000" w:themeColor="text1"/>
          <w:sz w:val="32"/>
        </w:rPr>
        <w:t xml:space="preserve"> </w:t>
      </w:r>
    </w:p>
    <w:p>
      <w:pPr>
        <w:jc w:val="center"/>
        <w:rPr>
          <w:color w:val="000000" w:themeColor="text1"/>
          <w:sz w:val="28"/>
        </w:rPr>
      </w:pPr>
    </w:p>
    <w:p>
      <w:pPr>
        <w:jc w:val="center"/>
        <w:rPr>
          <w:rFonts w:ascii="宋体" w:hAnsi="宋体"/>
          <w:color w:val="000000" w:themeColor="text1"/>
          <w:sz w:val="32"/>
        </w:rPr>
      </w:pPr>
      <w:r>
        <w:rPr>
          <w:rFonts w:hint="eastAsia" w:ascii="宋体" w:hAnsi="宋体"/>
          <w:color w:val="000000" w:themeColor="text1"/>
          <w:sz w:val="32"/>
        </w:rPr>
        <w:t>(2018)（高博）环检（验）字（053）号</w:t>
      </w:r>
    </w:p>
    <w:p>
      <w:pPr>
        <w:jc w:val="center"/>
        <w:rPr>
          <w:rFonts w:ascii="宋体" w:hAnsi="宋体"/>
          <w:color w:val="000000" w:themeColor="text1"/>
          <w:sz w:val="32"/>
        </w:rPr>
      </w:pPr>
    </w:p>
    <w:p>
      <w:pPr>
        <w:jc w:val="center"/>
        <w:rPr>
          <w:color w:val="000000" w:themeColor="text1"/>
          <w:sz w:val="28"/>
        </w:rPr>
      </w:pPr>
    </w:p>
    <w:p>
      <w:pPr>
        <w:jc w:val="center"/>
        <w:rPr>
          <w:color w:val="000000" w:themeColor="text1"/>
          <w:sz w:val="28"/>
        </w:rPr>
      </w:pPr>
    </w:p>
    <w:p>
      <w:pPr>
        <w:jc w:val="center"/>
        <w:rPr>
          <w:color w:val="000000" w:themeColor="text1"/>
          <w:sz w:val="28"/>
        </w:rPr>
      </w:pPr>
    </w:p>
    <w:p>
      <w:pPr>
        <w:jc w:val="center"/>
        <w:rPr>
          <w:color w:val="000000" w:themeColor="text1"/>
          <w:sz w:val="28"/>
        </w:rPr>
      </w:pPr>
    </w:p>
    <w:tbl>
      <w:tblPr>
        <w:tblStyle w:val="12"/>
        <w:tblW w:w="8731" w:type="dxa"/>
        <w:tblInd w:w="0" w:type="dxa"/>
        <w:tblLayout w:type="fixed"/>
        <w:tblCellMar>
          <w:top w:w="0" w:type="dxa"/>
          <w:left w:w="108" w:type="dxa"/>
          <w:bottom w:w="0" w:type="dxa"/>
          <w:right w:w="108" w:type="dxa"/>
        </w:tblCellMar>
      </w:tblPr>
      <w:tblGrid>
        <w:gridCol w:w="236"/>
        <w:gridCol w:w="8495"/>
      </w:tblGrid>
      <w:tr>
        <w:tblPrEx>
          <w:tblLayout w:type="fixed"/>
          <w:tblCellMar>
            <w:top w:w="0" w:type="dxa"/>
            <w:left w:w="108" w:type="dxa"/>
            <w:bottom w:w="0" w:type="dxa"/>
            <w:right w:w="108" w:type="dxa"/>
          </w:tblCellMar>
        </w:tblPrEx>
        <w:trPr>
          <w:trHeight w:val="1680" w:hRule="atLeast"/>
        </w:trPr>
        <w:tc>
          <w:tcPr>
            <w:tcW w:w="236" w:type="dxa"/>
            <w:vAlign w:val="center"/>
          </w:tcPr>
          <w:p>
            <w:pPr>
              <w:jc w:val="center"/>
              <w:rPr>
                <w:b/>
                <w:color w:val="FF0000"/>
                <w:sz w:val="30"/>
              </w:rPr>
            </w:pPr>
          </w:p>
        </w:tc>
        <w:tc>
          <w:tcPr>
            <w:tcW w:w="8495" w:type="dxa"/>
            <w:vAlign w:val="center"/>
          </w:tcPr>
          <w:tbl>
            <w:tblPr>
              <w:tblStyle w:val="12"/>
              <w:tblW w:w="8997" w:type="dxa"/>
              <w:tblInd w:w="0" w:type="dxa"/>
              <w:tblLayout w:type="fixed"/>
              <w:tblCellMar>
                <w:top w:w="0" w:type="dxa"/>
                <w:left w:w="108" w:type="dxa"/>
                <w:bottom w:w="0" w:type="dxa"/>
                <w:right w:w="108" w:type="dxa"/>
              </w:tblCellMar>
            </w:tblPr>
            <w:tblGrid>
              <w:gridCol w:w="1925"/>
              <w:gridCol w:w="7072"/>
            </w:tblGrid>
            <w:tr>
              <w:tblPrEx>
                <w:tblLayout w:type="fixed"/>
                <w:tblCellMar>
                  <w:top w:w="0" w:type="dxa"/>
                  <w:left w:w="108" w:type="dxa"/>
                  <w:bottom w:w="0" w:type="dxa"/>
                  <w:right w:w="108" w:type="dxa"/>
                </w:tblCellMar>
              </w:tblPrEx>
              <w:trPr>
                <w:trHeight w:val="1889" w:hRule="atLeast"/>
              </w:trPr>
              <w:tc>
                <w:tcPr>
                  <w:tcW w:w="1925" w:type="dxa"/>
                  <w:vAlign w:val="center"/>
                </w:tcPr>
                <w:p>
                  <w:pPr>
                    <w:jc w:val="center"/>
                    <w:rPr>
                      <w:b/>
                      <w:color w:val="000000" w:themeColor="text1"/>
                      <w:sz w:val="32"/>
                      <w:szCs w:val="32"/>
                    </w:rPr>
                  </w:pPr>
                  <w:r>
                    <w:rPr>
                      <w:rFonts w:hint="eastAsia"/>
                      <w:b/>
                      <w:color w:val="000000" w:themeColor="text1"/>
                      <w:sz w:val="32"/>
                      <w:szCs w:val="32"/>
                    </w:rPr>
                    <w:t xml:space="preserve"> 项目名称：</w:t>
                  </w:r>
                </w:p>
              </w:tc>
              <w:tc>
                <w:tcPr>
                  <w:tcW w:w="7072" w:type="dxa"/>
                  <w:vAlign w:val="center"/>
                </w:tcPr>
                <w:p>
                  <w:pPr>
                    <w:snapToGrid w:val="0"/>
                    <w:spacing w:line="360" w:lineRule="auto"/>
                    <w:rPr>
                      <w:rFonts w:ascii="宋体" w:hAnsi="宋体"/>
                      <w:b/>
                      <w:bCs/>
                      <w:color w:val="000000" w:themeColor="text1"/>
                      <w:sz w:val="28"/>
                      <w:szCs w:val="28"/>
                      <w:u w:val="single"/>
                    </w:rPr>
                  </w:pPr>
                  <w:r>
                    <w:rPr>
                      <w:rFonts w:hint="eastAsia" w:ascii="宋体" w:hAnsi="宋体"/>
                      <w:b/>
                      <w:bCs/>
                      <w:color w:val="000000" w:themeColor="text1"/>
                      <w:sz w:val="28"/>
                      <w:szCs w:val="28"/>
                      <w:u w:val="single"/>
                    </w:rPr>
                    <w:t>自承式轻质钢筋桁架楼承板（第五代）生产线项目</w:t>
                  </w:r>
                </w:p>
              </w:tc>
            </w:tr>
            <w:tr>
              <w:tblPrEx>
                <w:tblLayout w:type="fixed"/>
                <w:tblCellMar>
                  <w:top w:w="0" w:type="dxa"/>
                  <w:left w:w="108" w:type="dxa"/>
                  <w:bottom w:w="0" w:type="dxa"/>
                  <w:right w:w="108" w:type="dxa"/>
                </w:tblCellMar>
              </w:tblPrEx>
              <w:trPr>
                <w:trHeight w:val="1373" w:hRule="atLeast"/>
              </w:trPr>
              <w:tc>
                <w:tcPr>
                  <w:tcW w:w="1925" w:type="dxa"/>
                  <w:vAlign w:val="center"/>
                </w:tcPr>
                <w:p>
                  <w:pPr>
                    <w:jc w:val="center"/>
                    <w:rPr>
                      <w:b/>
                      <w:color w:val="000000" w:themeColor="text1"/>
                      <w:sz w:val="32"/>
                      <w:szCs w:val="32"/>
                    </w:rPr>
                  </w:pPr>
                  <w:r>
                    <w:rPr>
                      <w:rFonts w:hint="eastAsia"/>
                      <w:b/>
                      <w:color w:val="000000" w:themeColor="text1"/>
                      <w:sz w:val="32"/>
                      <w:szCs w:val="32"/>
                    </w:rPr>
                    <w:t xml:space="preserve"> 建设单位：</w:t>
                  </w:r>
                </w:p>
              </w:tc>
              <w:tc>
                <w:tcPr>
                  <w:tcW w:w="7072" w:type="dxa"/>
                  <w:vAlign w:val="center"/>
                </w:tcPr>
                <w:p>
                  <w:pPr>
                    <w:jc w:val="center"/>
                    <w:rPr>
                      <w:rFonts w:ascii="宋体" w:hAnsi="宋体"/>
                      <w:b/>
                      <w:bCs/>
                      <w:color w:val="000000" w:themeColor="text1"/>
                      <w:sz w:val="28"/>
                      <w:szCs w:val="28"/>
                      <w:u w:val="single"/>
                    </w:rPr>
                  </w:pPr>
                  <w:r>
                    <w:rPr>
                      <w:rFonts w:hint="eastAsia" w:ascii="宋体" w:hAnsi="宋体"/>
                      <w:b/>
                      <w:bCs/>
                      <w:color w:val="000000" w:themeColor="text1"/>
                      <w:sz w:val="28"/>
                      <w:szCs w:val="28"/>
                      <w:u w:val="single"/>
                    </w:rPr>
                    <w:t>江苏银环新材料科技有限公司</w:t>
                  </w:r>
                </w:p>
              </w:tc>
            </w:tr>
          </w:tbl>
          <w:p>
            <w:pPr>
              <w:pStyle w:val="5"/>
              <w:rPr>
                <w:color w:val="000000" w:themeColor="text1"/>
                <w:szCs w:val="28"/>
              </w:rPr>
            </w:pPr>
          </w:p>
        </w:tc>
      </w:tr>
      <w:tr>
        <w:tblPrEx>
          <w:tblLayout w:type="fixed"/>
          <w:tblCellMar>
            <w:top w:w="0" w:type="dxa"/>
            <w:left w:w="108" w:type="dxa"/>
            <w:bottom w:w="0" w:type="dxa"/>
            <w:right w:w="108" w:type="dxa"/>
          </w:tblCellMar>
        </w:tblPrEx>
        <w:trPr>
          <w:trHeight w:val="1680" w:hRule="atLeast"/>
        </w:trPr>
        <w:tc>
          <w:tcPr>
            <w:tcW w:w="236" w:type="dxa"/>
            <w:vAlign w:val="center"/>
          </w:tcPr>
          <w:p>
            <w:pPr>
              <w:jc w:val="center"/>
              <w:rPr>
                <w:b/>
                <w:color w:val="FF0000"/>
                <w:sz w:val="30"/>
              </w:rPr>
            </w:pPr>
          </w:p>
        </w:tc>
        <w:tc>
          <w:tcPr>
            <w:tcW w:w="8495" w:type="dxa"/>
            <w:vAlign w:val="center"/>
          </w:tcPr>
          <w:p>
            <w:pPr>
              <w:pStyle w:val="5"/>
              <w:ind w:firstLine="1260" w:firstLineChars="450"/>
              <w:rPr>
                <w:rFonts w:hAnsi="宋体"/>
                <w:color w:val="FF0000"/>
                <w:szCs w:val="28"/>
              </w:rPr>
            </w:pPr>
          </w:p>
        </w:tc>
      </w:tr>
    </w:tbl>
    <w:p>
      <w:pPr>
        <w:spacing w:line="360" w:lineRule="auto"/>
        <w:rPr>
          <w:b/>
          <w:color w:val="FF0000"/>
          <w:sz w:val="30"/>
          <w:szCs w:val="30"/>
        </w:rPr>
      </w:pPr>
    </w:p>
    <w:p>
      <w:pPr>
        <w:jc w:val="center"/>
        <w:rPr>
          <w:rFonts w:ascii="宋体" w:hAnsi="宋体"/>
          <w:bCs/>
          <w:color w:val="000000" w:themeColor="text1"/>
          <w:sz w:val="36"/>
        </w:rPr>
      </w:pPr>
      <w:r>
        <w:rPr>
          <w:rFonts w:hint="eastAsia" w:ascii="宋体" w:hAnsi="宋体"/>
          <w:bCs/>
          <w:color w:val="000000" w:themeColor="text1"/>
          <w:sz w:val="36"/>
        </w:rPr>
        <w:t>南京高博环境科技有限公司</w:t>
      </w:r>
    </w:p>
    <w:p>
      <w:pPr>
        <w:spacing w:line="360" w:lineRule="auto"/>
        <w:jc w:val="center"/>
        <w:rPr>
          <w:b/>
          <w:color w:val="FF0000"/>
          <w:sz w:val="30"/>
          <w:szCs w:val="30"/>
        </w:rPr>
      </w:pPr>
    </w:p>
    <w:p>
      <w:pPr>
        <w:pStyle w:val="5"/>
        <w:spacing w:line="360" w:lineRule="auto"/>
        <w:jc w:val="center"/>
        <w:rPr>
          <w:color w:val="000000" w:themeColor="text1"/>
          <w:sz w:val="30"/>
          <w:szCs w:val="30"/>
        </w:rPr>
      </w:pPr>
      <w:r>
        <w:rPr>
          <w:rFonts w:hint="eastAsia"/>
          <w:color w:val="000000" w:themeColor="text1"/>
          <w:sz w:val="30"/>
          <w:szCs w:val="30"/>
        </w:rPr>
        <w:t>201</w:t>
      </w:r>
      <w:r>
        <w:rPr>
          <w:rFonts w:hint="eastAsia"/>
          <w:color w:val="000000" w:themeColor="text1"/>
          <w:sz w:val="30"/>
          <w:szCs w:val="30"/>
          <w:lang w:val="en-US" w:eastAsia="zh-CN"/>
        </w:rPr>
        <w:t>8</w:t>
      </w:r>
      <w:r>
        <w:rPr>
          <w:rFonts w:hint="eastAsia"/>
          <w:color w:val="000000" w:themeColor="text1"/>
          <w:sz w:val="30"/>
          <w:szCs w:val="30"/>
        </w:rPr>
        <w:t>年1</w:t>
      </w:r>
      <w:r>
        <w:rPr>
          <w:rFonts w:hint="eastAsia"/>
          <w:color w:val="000000" w:themeColor="text1"/>
          <w:sz w:val="30"/>
          <w:szCs w:val="30"/>
          <w:lang w:val="en-US" w:eastAsia="zh-CN"/>
        </w:rPr>
        <w:t>2</w:t>
      </w:r>
      <w:r>
        <w:rPr>
          <w:rFonts w:hint="eastAsia"/>
          <w:color w:val="000000" w:themeColor="text1"/>
          <w:sz w:val="30"/>
          <w:szCs w:val="30"/>
        </w:rPr>
        <w:t>月</w:t>
      </w:r>
    </w:p>
    <w:p>
      <w:pPr>
        <w:rPr>
          <w:color w:val="FF0000"/>
          <w:sz w:val="30"/>
          <w:szCs w:val="30"/>
        </w:rPr>
      </w:pPr>
    </w:p>
    <w:p>
      <w:pPr>
        <w:rPr>
          <w:color w:val="FF0000"/>
          <w:sz w:val="30"/>
          <w:szCs w:val="30"/>
        </w:rPr>
        <w:sectPr>
          <w:headerReference r:id="rId10" w:type="default"/>
          <w:footerReference r:id="rId11" w:type="default"/>
          <w:pgSz w:w="11906" w:h="16838"/>
          <w:pgMar w:top="1440" w:right="1588" w:bottom="1134" w:left="1588" w:header="851" w:footer="992" w:gutter="0"/>
          <w:pgNumType w:start="1"/>
          <w:cols w:space="720" w:num="1"/>
          <w:docGrid w:linePitch="312" w:charSpace="0"/>
        </w:sectPr>
      </w:pPr>
    </w:p>
    <w:p>
      <w:pPr>
        <w:jc w:val="center"/>
        <w:rPr>
          <w:b/>
          <w:bCs/>
          <w:color w:val="000000" w:themeColor="text1"/>
          <w:sz w:val="36"/>
          <w:szCs w:val="36"/>
        </w:rPr>
      </w:pPr>
      <w:r>
        <w:rPr>
          <w:rFonts w:hint="eastAsia"/>
          <w:b/>
          <w:bCs/>
          <w:color w:val="FF0000"/>
          <w:sz w:val="36"/>
          <w:szCs w:val="36"/>
        </w:rPr>
        <w:t xml:space="preserve"> </w:t>
      </w:r>
      <w:r>
        <w:rPr>
          <w:rFonts w:hint="eastAsia"/>
          <w:b/>
          <w:bCs/>
          <w:color w:val="000000" w:themeColor="text1"/>
          <w:sz w:val="36"/>
          <w:szCs w:val="36"/>
        </w:rPr>
        <w:t>报 告 说 明</w:t>
      </w:r>
    </w:p>
    <w:p>
      <w:pPr>
        <w:rPr>
          <w:color w:val="000000" w:themeColor="text1"/>
          <w:sz w:val="30"/>
          <w:szCs w:val="30"/>
        </w:rPr>
      </w:pPr>
    </w:p>
    <w:p>
      <w:pPr>
        <w:rPr>
          <w:color w:val="000000" w:themeColor="text1"/>
          <w:sz w:val="30"/>
          <w:szCs w:val="30"/>
        </w:rPr>
      </w:pPr>
    </w:p>
    <w:p>
      <w:pPr>
        <w:rPr>
          <w:color w:val="000000" w:themeColor="text1"/>
          <w:sz w:val="30"/>
          <w:szCs w:val="30"/>
        </w:rPr>
      </w:pPr>
    </w:p>
    <w:p>
      <w:pPr>
        <w:spacing w:line="360" w:lineRule="auto"/>
        <w:rPr>
          <w:color w:val="000000" w:themeColor="text1"/>
          <w:sz w:val="30"/>
          <w:szCs w:val="30"/>
        </w:rPr>
      </w:pPr>
      <w:r>
        <w:rPr>
          <w:rFonts w:hint="eastAsia"/>
          <w:color w:val="000000" w:themeColor="text1"/>
          <w:sz w:val="30"/>
          <w:szCs w:val="30"/>
        </w:rPr>
        <w:t>一、对本报告检测结果如有异议，请于收到报告之日起十日内以单位公函形式向本公司提起申述，逾期不予受理。</w:t>
      </w:r>
    </w:p>
    <w:p>
      <w:pPr>
        <w:spacing w:line="360" w:lineRule="auto"/>
        <w:rPr>
          <w:color w:val="000000" w:themeColor="text1"/>
          <w:sz w:val="30"/>
          <w:szCs w:val="30"/>
        </w:rPr>
      </w:pPr>
      <w:r>
        <w:rPr>
          <w:rFonts w:hint="eastAsia"/>
          <w:color w:val="000000" w:themeColor="text1"/>
          <w:sz w:val="30"/>
          <w:szCs w:val="30"/>
        </w:rPr>
        <w:t>二、委托检测，由本公司负责全程序检测过程，并对检测过程加以质量控制，本公司对整个检测负责；委托分析，由客户送样，仅对来样检测结果负责。</w:t>
      </w:r>
    </w:p>
    <w:p>
      <w:pPr>
        <w:spacing w:line="360" w:lineRule="auto"/>
        <w:rPr>
          <w:color w:val="000000" w:themeColor="text1"/>
          <w:sz w:val="30"/>
          <w:szCs w:val="30"/>
        </w:rPr>
      </w:pPr>
      <w:r>
        <w:rPr>
          <w:rFonts w:hint="eastAsia"/>
          <w:color w:val="000000" w:themeColor="text1"/>
          <w:sz w:val="30"/>
          <w:szCs w:val="30"/>
        </w:rPr>
        <w:t>三、除臭气浓度外，低于方法检出限的测定结果以“ND”表示，对于臭气浓度应按照“＜检出限”的形式执行。</w:t>
      </w:r>
    </w:p>
    <w:p>
      <w:pPr>
        <w:spacing w:line="360" w:lineRule="auto"/>
        <w:rPr>
          <w:color w:val="000000" w:themeColor="text1"/>
          <w:sz w:val="30"/>
          <w:szCs w:val="30"/>
        </w:rPr>
      </w:pPr>
      <w:r>
        <w:rPr>
          <w:rFonts w:hint="eastAsia"/>
          <w:color w:val="000000" w:themeColor="text1"/>
          <w:sz w:val="30"/>
          <w:szCs w:val="30"/>
        </w:rPr>
        <w:t>四、本公司仅对报告原件负责，非本公司同意，不得以任何方式复制，经本公司同意复制后的复印件，应由本公司加盖公章予以确认。</w:t>
      </w:r>
    </w:p>
    <w:p>
      <w:pPr>
        <w:spacing w:line="360" w:lineRule="auto"/>
        <w:rPr>
          <w:color w:val="000000" w:themeColor="text1"/>
          <w:sz w:val="30"/>
          <w:szCs w:val="30"/>
        </w:rPr>
      </w:pPr>
      <w:r>
        <w:rPr>
          <w:rFonts w:hint="eastAsia"/>
          <w:color w:val="000000" w:themeColor="text1"/>
          <w:sz w:val="30"/>
          <w:szCs w:val="30"/>
        </w:rPr>
        <w:t>五、本报告涂改无效。</w:t>
      </w:r>
    </w:p>
    <w:p>
      <w:pPr>
        <w:spacing w:line="360" w:lineRule="auto"/>
        <w:rPr>
          <w:color w:val="000000" w:themeColor="text1"/>
          <w:sz w:val="30"/>
          <w:szCs w:val="30"/>
        </w:rPr>
        <w:sectPr>
          <w:pgSz w:w="11906" w:h="16838"/>
          <w:pgMar w:top="1440" w:right="1588" w:bottom="1134" w:left="1588" w:header="851" w:footer="992" w:gutter="0"/>
          <w:pgNumType w:start="1"/>
          <w:cols w:space="720" w:num="1"/>
          <w:docGrid w:linePitch="312" w:charSpace="0"/>
        </w:sectPr>
      </w:pPr>
      <w:r>
        <w:rPr>
          <w:rFonts w:hint="eastAsia"/>
          <w:color w:val="000000" w:themeColor="text1"/>
          <w:sz w:val="30"/>
          <w:szCs w:val="30"/>
        </w:rPr>
        <w:t>六、检测项目前标注“*” ，表示为未经计量认证的项目。</w:t>
      </w:r>
    </w:p>
    <w:p>
      <w:pPr>
        <w:spacing w:line="360" w:lineRule="auto"/>
        <w:rPr>
          <w:b/>
          <w:color w:val="000000" w:themeColor="text1"/>
          <w:sz w:val="28"/>
          <w:szCs w:val="28"/>
        </w:rPr>
      </w:pPr>
      <w:bookmarkStart w:id="0" w:name="OLE_LINK86"/>
      <w:bookmarkStart w:id="1" w:name="OLE_LINK87"/>
      <w:r>
        <w:rPr>
          <w:rFonts w:hint="eastAsia"/>
          <w:b/>
          <w:color w:val="000000" w:themeColor="text1"/>
          <w:sz w:val="28"/>
        </w:rPr>
        <w:t>承 担 单 位：南京高博环境科技有限公司</w:t>
      </w:r>
    </w:p>
    <w:p>
      <w:pPr>
        <w:tabs>
          <w:tab w:val="center" w:pos="4156"/>
        </w:tabs>
        <w:spacing w:line="360" w:lineRule="auto"/>
        <w:ind w:left="1155" w:hanging="1155"/>
        <w:rPr>
          <w:color w:val="000000" w:themeColor="text1"/>
          <w:sz w:val="28"/>
        </w:rPr>
      </w:pPr>
      <w:r>
        <w:rPr>
          <w:rFonts w:hint="eastAsia"/>
          <w:b/>
          <w:color w:val="000000" w:themeColor="text1"/>
          <w:sz w:val="28"/>
          <w:szCs w:val="28"/>
        </w:rPr>
        <w:t>参加人员 ：王高浦、田宇、陈国庆、秦广平、李娟、叶梦涛、汤晓娟、沈聪、刘翠红、张鹏</w:t>
      </w:r>
    </w:p>
    <w:p>
      <w:pPr>
        <w:spacing w:line="360" w:lineRule="auto"/>
        <w:rPr>
          <w:b/>
          <w:color w:val="000000" w:themeColor="text1"/>
          <w:spacing w:val="12"/>
          <w:sz w:val="28"/>
          <w:szCs w:val="28"/>
        </w:rPr>
      </w:pPr>
      <w:r>
        <w:rPr>
          <w:rFonts w:hint="eastAsia"/>
          <w:b/>
          <w:color w:val="000000" w:themeColor="text1"/>
          <w:spacing w:val="12"/>
          <w:sz w:val="28"/>
          <w:szCs w:val="28"/>
        </w:rPr>
        <w:t xml:space="preserve"> </w:t>
      </w:r>
    </w:p>
    <w:p>
      <w:pPr>
        <w:spacing w:line="360" w:lineRule="auto"/>
        <w:rPr>
          <w:b/>
          <w:color w:val="FF0000"/>
          <w:spacing w:val="12"/>
          <w:sz w:val="28"/>
          <w:szCs w:val="28"/>
        </w:rPr>
      </w:pPr>
    </w:p>
    <w:p>
      <w:pPr>
        <w:spacing w:line="360" w:lineRule="auto"/>
        <w:rPr>
          <w:b/>
          <w:color w:val="000000" w:themeColor="text1"/>
          <w:spacing w:val="6"/>
          <w:sz w:val="28"/>
          <w:szCs w:val="28"/>
        </w:rPr>
      </w:pPr>
    </w:p>
    <w:p>
      <w:pPr>
        <w:spacing w:line="360" w:lineRule="auto"/>
        <w:rPr>
          <w:b/>
          <w:color w:val="000000" w:themeColor="text1"/>
          <w:spacing w:val="6"/>
          <w:sz w:val="28"/>
          <w:szCs w:val="28"/>
        </w:rPr>
      </w:pPr>
      <w:r>
        <w:rPr>
          <w:rFonts w:hint="eastAsia"/>
          <w:b/>
          <w:color w:val="000000" w:themeColor="text1"/>
          <w:spacing w:val="6"/>
          <w:sz w:val="28"/>
          <w:szCs w:val="28"/>
        </w:rPr>
        <w:t>项目负责人：吴雨</w:t>
      </w:r>
    </w:p>
    <w:p>
      <w:pPr>
        <w:spacing w:line="360" w:lineRule="auto"/>
        <w:rPr>
          <w:b/>
          <w:color w:val="000000" w:themeColor="text1"/>
          <w:spacing w:val="6"/>
          <w:sz w:val="28"/>
          <w:szCs w:val="28"/>
        </w:rPr>
      </w:pPr>
      <w:r>
        <w:rPr>
          <w:rFonts w:hint="eastAsia"/>
          <w:b/>
          <w:color w:val="000000" w:themeColor="text1"/>
          <w:spacing w:val="6"/>
          <w:sz w:val="28"/>
          <w:szCs w:val="28"/>
        </w:rPr>
        <w:t>编      制：</w:t>
      </w:r>
    </w:p>
    <w:p>
      <w:pPr>
        <w:spacing w:line="360" w:lineRule="auto"/>
        <w:rPr>
          <w:color w:val="000000" w:themeColor="text1"/>
          <w:sz w:val="28"/>
          <w:szCs w:val="28"/>
        </w:rPr>
      </w:pPr>
      <w:r>
        <w:rPr>
          <w:rFonts w:hint="eastAsia"/>
          <w:b/>
          <w:color w:val="000000" w:themeColor="text1"/>
          <w:spacing w:val="6"/>
          <w:sz w:val="28"/>
          <w:szCs w:val="28"/>
        </w:rPr>
        <w:t>复      核：</w:t>
      </w:r>
    </w:p>
    <w:p>
      <w:pPr>
        <w:spacing w:line="360" w:lineRule="auto"/>
        <w:rPr>
          <w:color w:val="000000" w:themeColor="text1"/>
          <w:sz w:val="28"/>
          <w:szCs w:val="28"/>
        </w:rPr>
      </w:pPr>
      <w:r>
        <w:rPr>
          <w:rFonts w:hint="eastAsia"/>
          <w:b/>
          <w:color w:val="000000" w:themeColor="text1"/>
          <w:spacing w:val="6"/>
          <w:sz w:val="28"/>
          <w:szCs w:val="28"/>
        </w:rPr>
        <w:t xml:space="preserve">审      核：     </w:t>
      </w:r>
      <w:r>
        <w:rPr>
          <w:rFonts w:hint="eastAsia"/>
          <w:b/>
          <w:color w:val="000000" w:themeColor="text1"/>
          <w:spacing w:val="6"/>
          <w:sz w:val="28"/>
          <w:szCs w:val="28"/>
        </w:rPr>
        <w:tab/>
      </w:r>
      <w:r>
        <w:rPr>
          <w:rFonts w:hint="eastAsia"/>
          <w:b/>
          <w:color w:val="000000" w:themeColor="text1"/>
          <w:spacing w:val="6"/>
          <w:sz w:val="28"/>
          <w:szCs w:val="28"/>
        </w:rPr>
        <w:t xml:space="preserve"> </w:t>
      </w:r>
      <w:r>
        <w:rPr>
          <w:rFonts w:hint="eastAsia"/>
          <w:color w:val="000000" w:themeColor="text1"/>
          <w:spacing w:val="6"/>
          <w:sz w:val="28"/>
          <w:szCs w:val="28"/>
        </w:rPr>
        <w:t xml:space="preserve">  </w:t>
      </w:r>
    </w:p>
    <w:p>
      <w:pPr>
        <w:tabs>
          <w:tab w:val="center" w:pos="4156"/>
        </w:tabs>
        <w:spacing w:line="360" w:lineRule="auto"/>
        <w:ind w:left="1155" w:hanging="1155"/>
        <w:rPr>
          <w:color w:val="000000" w:themeColor="text1"/>
          <w:sz w:val="28"/>
          <w:szCs w:val="28"/>
        </w:rPr>
      </w:pPr>
      <w:r>
        <w:rPr>
          <w:rFonts w:hint="eastAsia"/>
          <w:b/>
          <w:color w:val="000000" w:themeColor="text1"/>
          <w:spacing w:val="6"/>
          <w:sz w:val="28"/>
          <w:szCs w:val="28"/>
        </w:rPr>
        <w:t xml:space="preserve">签      发：  </w:t>
      </w:r>
      <w:r>
        <w:rPr>
          <w:rFonts w:hint="eastAsia"/>
          <w:color w:val="000000" w:themeColor="text1"/>
          <w:sz w:val="28"/>
          <w:szCs w:val="28"/>
        </w:rPr>
        <w:t xml:space="preserve">                       </w:t>
      </w:r>
      <w:r>
        <w:rPr>
          <w:rFonts w:hint="eastAsia"/>
          <w:b/>
          <w:color w:val="000000" w:themeColor="text1"/>
          <w:sz w:val="28"/>
          <w:szCs w:val="28"/>
        </w:rPr>
        <w:t>签发人职务：技术负责人</w:t>
      </w:r>
      <w:r>
        <w:rPr>
          <w:rFonts w:hint="eastAsia"/>
          <w:color w:val="000000" w:themeColor="text1"/>
          <w:sz w:val="28"/>
          <w:szCs w:val="28"/>
        </w:rPr>
        <w:t xml:space="preserve">       </w:t>
      </w:r>
    </w:p>
    <w:p>
      <w:pPr>
        <w:tabs>
          <w:tab w:val="center" w:pos="4156"/>
        </w:tabs>
        <w:spacing w:line="360" w:lineRule="auto"/>
        <w:ind w:left="1155" w:hanging="1155"/>
        <w:rPr>
          <w:color w:val="000000" w:themeColor="text1"/>
          <w:sz w:val="28"/>
          <w:szCs w:val="28"/>
        </w:rPr>
      </w:pPr>
      <w:r>
        <w:rPr>
          <w:rFonts w:hint="eastAsia"/>
          <w:b/>
          <w:color w:val="000000" w:themeColor="text1"/>
          <w:spacing w:val="6"/>
          <w:sz w:val="28"/>
          <w:szCs w:val="28"/>
        </w:rPr>
        <w:t>签发  日期：</w:t>
      </w:r>
      <w:r>
        <w:rPr>
          <w:rFonts w:hint="eastAsia"/>
          <w:color w:val="000000" w:themeColor="text1"/>
          <w:sz w:val="28"/>
          <w:szCs w:val="28"/>
        </w:rPr>
        <w:t xml:space="preserve">     </w:t>
      </w:r>
    </w:p>
    <w:p>
      <w:pPr>
        <w:ind w:left="1155" w:hanging="1155"/>
        <w:rPr>
          <w:color w:val="000000" w:themeColor="text1"/>
          <w:sz w:val="28"/>
        </w:rPr>
      </w:pPr>
    </w:p>
    <w:p>
      <w:pPr>
        <w:rPr>
          <w:color w:val="FF0000"/>
          <w:sz w:val="28"/>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snapToGrid w:val="0"/>
        <w:spacing w:line="360" w:lineRule="auto"/>
        <w:rPr>
          <w:b/>
          <w:color w:val="000000" w:themeColor="text1"/>
          <w:sz w:val="28"/>
        </w:rPr>
      </w:pPr>
      <w:r>
        <w:rPr>
          <w:rFonts w:hint="eastAsia"/>
          <w:b/>
          <w:color w:val="000000" w:themeColor="text1"/>
          <w:sz w:val="28"/>
        </w:rPr>
        <w:t>南京高博环境科技有限公司</w:t>
      </w:r>
    </w:p>
    <w:p>
      <w:pPr>
        <w:snapToGrid w:val="0"/>
        <w:spacing w:line="360" w:lineRule="auto"/>
        <w:rPr>
          <w:b/>
          <w:color w:val="000000" w:themeColor="text1"/>
          <w:sz w:val="28"/>
        </w:rPr>
      </w:pPr>
      <w:r>
        <w:rPr>
          <w:rFonts w:hint="eastAsia"/>
          <w:b/>
          <w:color w:val="000000" w:themeColor="text1"/>
          <w:sz w:val="28"/>
        </w:rPr>
        <w:t>电话</w:t>
      </w:r>
      <w:r>
        <w:rPr>
          <w:rFonts w:hint="eastAsia"/>
          <w:color w:val="000000" w:themeColor="text1"/>
          <w:sz w:val="28"/>
        </w:rPr>
        <w:t>：</w:t>
      </w:r>
      <w:r>
        <w:rPr>
          <w:rFonts w:hint="eastAsia"/>
          <w:b/>
          <w:color w:val="000000" w:themeColor="text1"/>
          <w:sz w:val="28"/>
        </w:rPr>
        <w:t xml:space="preserve">025-57601665 </w:t>
      </w:r>
    </w:p>
    <w:p>
      <w:pPr>
        <w:snapToGrid w:val="0"/>
        <w:spacing w:line="360" w:lineRule="auto"/>
        <w:rPr>
          <w:b/>
          <w:color w:val="000000" w:themeColor="text1"/>
          <w:sz w:val="28"/>
        </w:rPr>
      </w:pPr>
      <w:r>
        <w:rPr>
          <w:rFonts w:hint="eastAsia"/>
          <w:b/>
          <w:color w:val="000000" w:themeColor="text1"/>
          <w:sz w:val="28"/>
        </w:rPr>
        <w:t>邮箱：</w:t>
      </w:r>
      <w:r>
        <w:rPr>
          <w:b/>
          <w:color w:val="000000" w:themeColor="text1"/>
          <w:sz w:val="28"/>
        </w:rPr>
        <w:t>nj</w:t>
      </w:r>
      <w:r>
        <w:rPr>
          <w:rFonts w:hint="eastAsia"/>
          <w:b/>
          <w:color w:val="000000" w:themeColor="text1"/>
          <w:sz w:val="28"/>
        </w:rPr>
        <w:t>gbjc</w:t>
      </w:r>
      <w:r>
        <w:rPr>
          <w:b/>
          <w:color w:val="000000" w:themeColor="text1"/>
          <w:sz w:val="28"/>
        </w:rPr>
        <w:t>@163.com</w:t>
      </w:r>
    </w:p>
    <w:p>
      <w:pPr>
        <w:snapToGrid w:val="0"/>
        <w:spacing w:line="360" w:lineRule="auto"/>
        <w:rPr>
          <w:b/>
          <w:color w:val="000000" w:themeColor="text1"/>
          <w:sz w:val="28"/>
        </w:rPr>
      </w:pPr>
      <w:r>
        <w:rPr>
          <w:rFonts w:hint="eastAsia"/>
          <w:b/>
          <w:color w:val="000000" w:themeColor="text1"/>
          <w:sz w:val="28"/>
        </w:rPr>
        <w:t>邮编</w:t>
      </w:r>
      <w:r>
        <w:rPr>
          <w:rFonts w:hint="eastAsia"/>
          <w:color w:val="000000" w:themeColor="text1"/>
          <w:sz w:val="28"/>
        </w:rPr>
        <w:t>：</w:t>
      </w:r>
      <w:r>
        <w:rPr>
          <w:rFonts w:hint="eastAsia"/>
          <w:b/>
          <w:color w:val="000000" w:themeColor="text1"/>
          <w:sz w:val="28"/>
        </w:rPr>
        <w:t>211515</w:t>
      </w:r>
    </w:p>
    <w:p>
      <w:pPr>
        <w:jc w:val="left"/>
        <w:rPr>
          <w:color w:val="000000" w:themeColor="text1"/>
          <w:sz w:val="24"/>
        </w:rPr>
      </w:pPr>
      <w:r>
        <w:rPr>
          <w:rFonts w:hint="eastAsia"/>
          <w:b/>
          <w:color w:val="000000" w:themeColor="text1"/>
          <w:sz w:val="28"/>
        </w:rPr>
        <w:t>地址：南京六合横梁工业集中区</w:t>
      </w:r>
    </w:p>
    <w:bookmarkEnd w:id="0"/>
    <w:bookmarkEnd w:id="1"/>
    <w:p>
      <w:pPr>
        <w:rPr>
          <w:b/>
          <w:color w:val="000000" w:themeColor="text1"/>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sectPr>
          <w:pgSz w:w="11906" w:h="16838"/>
          <w:pgMar w:top="1440" w:right="1588" w:bottom="1134" w:left="1588" w:header="851" w:footer="992" w:gutter="0"/>
          <w:pgNumType w:start="1"/>
          <w:cols w:space="720" w:num="1"/>
          <w:docGrid w:linePitch="312" w:charSpace="0"/>
        </w:sectPr>
      </w:pPr>
      <w:bookmarkStart w:id="2" w:name="_Toc12313"/>
      <w:bookmarkStart w:id="3" w:name="_Toc13237"/>
      <w:bookmarkStart w:id="4" w:name="_Toc16286"/>
      <w:bookmarkStart w:id="5" w:name="_Toc14038"/>
      <w:bookmarkStart w:id="6" w:name="_Toc13768"/>
    </w:p>
    <w:p>
      <w:pPr>
        <w:outlineLvl w:val="0"/>
        <w:rPr>
          <w:b/>
          <w:color w:val="000000" w:themeColor="text1"/>
          <w:sz w:val="28"/>
          <w:szCs w:val="28"/>
        </w:rPr>
      </w:pPr>
      <w:bookmarkStart w:id="7" w:name="_Toc6769"/>
      <w:bookmarkStart w:id="8" w:name="_Toc24011"/>
      <w:bookmarkStart w:id="9" w:name="_Toc16534"/>
      <w:bookmarkStart w:id="10" w:name="_Toc15556_WPSOffice_Level1"/>
      <w:bookmarkStart w:id="11" w:name="_Toc26735"/>
      <w:r>
        <w:rPr>
          <w:rFonts w:hint="eastAsia"/>
          <w:b/>
          <w:color w:val="000000" w:themeColor="text1"/>
          <w:sz w:val="28"/>
          <w:szCs w:val="28"/>
        </w:rPr>
        <w:t>表一 项目概况</w:t>
      </w:r>
      <w:bookmarkEnd w:id="2"/>
      <w:bookmarkEnd w:id="3"/>
      <w:bookmarkEnd w:id="4"/>
      <w:bookmarkEnd w:id="5"/>
      <w:bookmarkEnd w:id="6"/>
      <w:bookmarkEnd w:id="7"/>
      <w:bookmarkEnd w:id="8"/>
      <w:bookmarkEnd w:id="9"/>
      <w:bookmarkEnd w:id="10"/>
      <w:bookmarkEnd w:id="11"/>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774"/>
        <w:gridCol w:w="2239"/>
        <w:gridCol w:w="1036"/>
        <w:gridCol w:w="801"/>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建设项目名称</w:t>
            </w:r>
          </w:p>
        </w:tc>
        <w:tc>
          <w:tcPr>
            <w:tcW w:w="6936" w:type="dxa"/>
            <w:gridSpan w:val="5"/>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自承式轻质钢筋桁架楼承板（第五代）生产线项目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建设单位名称</w:t>
            </w:r>
          </w:p>
        </w:tc>
        <w:tc>
          <w:tcPr>
            <w:tcW w:w="6936" w:type="dxa"/>
            <w:gridSpan w:val="5"/>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江苏银环新材料科技有限公司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建设项目性质</w:t>
            </w:r>
          </w:p>
        </w:tc>
        <w:tc>
          <w:tcPr>
            <w:tcW w:w="6936" w:type="dxa"/>
            <w:gridSpan w:val="5"/>
            <w:tcBorders>
              <w:tl2br w:val="nil"/>
              <w:tr2bl w:val="nil"/>
            </w:tcBorders>
            <w:vAlign w:val="center"/>
          </w:tcPr>
          <w:p>
            <w:pPr>
              <w:jc w:val="center"/>
              <w:rPr>
                <w:rFonts w:ascii="宋体" w:hAnsi="宋体"/>
                <w:color w:val="FF0000"/>
                <w:szCs w:val="21"/>
              </w:rPr>
            </w:pPr>
            <w:r>
              <w:rPr>
                <w:rFonts w:hint="eastAsia" w:ascii="宋体" w:hAnsi="宋体" w:cs="宋体"/>
                <w:color w:val="000000" w:themeColor="text1"/>
                <w:szCs w:val="21"/>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建设地点</w:t>
            </w:r>
          </w:p>
        </w:tc>
        <w:tc>
          <w:tcPr>
            <w:tcW w:w="6936" w:type="dxa"/>
            <w:gridSpan w:val="5"/>
            <w:tcBorders>
              <w:tl2br w:val="nil"/>
              <w:tr2bl w:val="nil"/>
            </w:tcBorders>
            <w:vAlign w:val="center"/>
          </w:tcPr>
          <w:p>
            <w:pPr>
              <w:jc w:val="center"/>
              <w:rPr>
                <w:rFonts w:ascii="宋体" w:hAnsi="宋体"/>
                <w:color w:val="FF0000"/>
                <w:szCs w:val="21"/>
              </w:rPr>
            </w:pPr>
            <w:r>
              <w:rPr>
                <w:rFonts w:hint="eastAsia" w:ascii="宋体" w:hAnsi="宋体" w:cs="宋体"/>
                <w:color w:val="000000" w:themeColor="text1"/>
                <w:szCs w:val="21"/>
              </w:rPr>
              <w:t>南京市六合经济开发区新港湾路以东、云海玻璃以西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主要产品名称</w:t>
            </w:r>
          </w:p>
        </w:tc>
        <w:tc>
          <w:tcPr>
            <w:tcW w:w="6936" w:type="dxa"/>
            <w:gridSpan w:val="5"/>
            <w:tcBorders>
              <w:tl2br w:val="nil"/>
              <w:tr2bl w:val="nil"/>
            </w:tcBorders>
            <w:vAlign w:val="center"/>
          </w:tcPr>
          <w:p>
            <w:pPr>
              <w:jc w:val="center"/>
              <w:rPr>
                <w:rFonts w:ascii="宋体" w:hAnsi="宋体" w:cs="宋体"/>
                <w:color w:val="000000" w:themeColor="text1"/>
                <w:szCs w:val="21"/>
              </w:rPr>
            </w:pPr>
            <w:r>
              <w:rPr>
                <w:rFonts w:hint="eastAsia"/>
                <w:color w:val="000000" w:themeColor="text1"/>
              </w:rPr>
              <w:t>钢筋桁架楼承板、压型钢板、冷弯型钢以及保温钢板等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设计生产能力</w:t>
            </w:r>
          </w:p>
        </w:tc>
        <w:tc>
          <w:tcPr>
            <w:tcW w:w="6936" w:type="dxa"/>
            <w:gridSpan w:val="5"/>
            <w:tcBorders>
              <w:tl2br w:val="nil"/>
              <w:tr2bl w:val="nil"/>
            </w:tcBorders>
            <w:vAlign w:val="center"/>
          </w:tcPr>
          <w:p>
            <w:pPr>
              <w:jc w:val="center"/>
              <w:rPr>
                <w:color w:val="000000" w:themeColor="text1"/>
              </w:rPr>
            </w:pPr>
            <w:r>
              <w:rPr>
                <w:rFonts w:hint="eastAsia"/>
                <w:color w:val="000000" w:themeColor="text1"/>
              </w:rPr>
              <w:t>年产钢筋桁架楼承板5万吨、压型钢板2万吨、冷弯型刚3万吨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实际生产能力</w:t>
            </w:r>
          </w:p>
        </w:tc>
        <w:tc>
          <w:tcPr>
            <w:tcW w:w="6936" w:type="dxa"/>
            <w:gridSpan w:val="5"/>
            <w:tcBorders>
              <w:tl2br w:val="nil"/>
              <w:tr2bl w:val="nil"/>
            </w:tcBorders>
            <w:vAlign w:val="center"/>
          </w:tcPr>
          <w:p>
            <w:pPr>
              <w:jc w:val="center"/>
              <w:rPr>
                <w:color w:val="000000" w:themeColor="text1"/>
              </w:rPr>
            </w:pPr>
            <w:r>
              <w:rPr>
                <w:rFonts w:hint="eastAsia"/>
                <w:color w:val="000000" w:themeColor="text1"/>
              </w:rPr>
              <w:t>年产钢筋桁架楼承板1.5万吨，年产压型钢板0.4万吨，年产冷弯型钢0.1万吨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建设项目环评时间</w:t>
            </w:r>
          </w:p>
        </w:tc>
        <w:tc>
          <w:tcPr>
            <w:tcW w:w="1774"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2014年6月</w:t>
            </w:r>
          </w:p>
        </w:tc>
        <w:tc>
          <w:tcPr>
            <w:tcW w:w="2239"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开工建设时间</w:t>
            </w:r>
          </w:p>
        </w:tc>
        <w:tc>
          <w:tcPr>
            <w:tcW w:w="2923"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2016年6月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hint="eastAsia" w:ascii="宋体" w:hAnsi="宋体"/>
                <w:b/>
                <w:bCs/>
                <w:color w:val="000000" w:themeColor="text1"/>
                <w:szCs w:val="21"/>
              </w:rPr>
              <w:t>调试</w:t>
            </w:r>
            <w:r>
              <w:rPr>
                <w:rFonts w:ascii="宋体" w:hAnsi="宋体"/>
                <w:b/>
                <w:bCs/>
                <w:color w:val="000000" w:themeColor="text1"/>
                <w:szCs w:val="21"/>
              </w:rPr>
              <w:t>时间</w:t>
            </w:r>
          </w:p>
        </w:tc>
        <w:tc>
          <w:tcPr>
            <w:tcW w:w="1774" w:type="dxa"/>
            <w:tcBorders>
              <w:tl2br w:val="nil"/>
              <w:tr2bl w:val="nil"/>
            </w:tcBorders>
            <w:vAlign w:val="center"/>
          </w:tcPr>
          <w:p>
            <w:pPr>
              <w:jc w:val="center"/>
              <w:rPr>
                <w:rFonts w:ascii="宋体" w:hAnsi="宋体"/>
                <w:color w:val="FF0000"/>
                <w:szCs w:val="21"/>
              </w:rPr>
            </w:pPr>
            <w:r>
              <w:rPr>
                <w:rFonts w:hint="eastAsia" w:ascii="宋体" w:hAnsi="宋体"/>
                <w:color w:val="auto"/>
                <w:szCs w:val="21"/>
              </w:rPr>
              <w:t>201</w:t>
            </w:r>
            <w:r>
              <w:rPr>
                <w:rFonts w:hint="eastAsia" w:ascii="宋体" w:hAnsi="宋体"/>
                <w:color w:val="auto"/>
                <w:szCs w:val="21"/>
                <w:lang w:val="en-US" w:eastAsia="zh-CN"/>
              </w:rPr>
              <w:t>8</w:t>
            </w:r>
            <w:r>
              <w:rPr>
                <w:rFonts w:hint="eastAsia" w:ascii="宋体" w:hAnsi="宋体"/>
                <w:color w:val="auto"/>
                <w:szCs w:val="21"/>
              </w:rPr>
              <w:t>年</w:t>
            </w:r>
            <w:r>
              <w:rPr>
                <w:rFonts w:hint="eastAsia" w:ascii="宋体" w:hAnsi="宋体"/>
                <w:color w:val="auto"/>
                <w:szCs w:val="21"/>
                <w:lang w:val="en-US" w:eastAsia="zh-CN"/>
              </w:rPr>
              <w:t>3</w:t>
            </w:r>
            <w:r>
              <w:rPr>
                <w:rFonts w:hint="eastAsia" w:ascii="宋体" w:hAnsi="宋体"/>
                <w:color w:val="auto"/>
                <w:szCs w:val="21"/>
              </w:rPr>
              <w:t>月</w:t>
            </w:r>
          </w:p>
        </w:tc>
        <w:tc>
          <w:tcPr>
            <w:tcW w:w="2239" w:type="dxa"/>
            <w:tcBorders>
              <w:tl2br w:val="nil"/>
              <w:tr2bl w:val="nil"/>
            </w:tcBorders>
            <w:vAlign w:val="center"/>
          </w:tcPr>
          <w:p>
            <w:pPr>
              <w:jc w:val="center"/>
              <w:rPr>
                <w:rFonts w:ascii="宋体" w:hAnsi="宋体"/>
                <w:b/>
                <w:bCs/>
                <w:color w:val="000000" w:themeColor="text1"/>
                <w:szCs w:val="21"/>
              </w:rPr>
            </w:pPr>
            <w:r>
              <w:rPr>
                <w:rFonts w:hint="eastAsia" w:ascii="宋体" w:hAnsi="宋体"/>
                <w:b/>
                <w:bCs/>
                <w:color w:val="000000" w:themeColor="text1"/>
                <w:szCs w:val="21"/>
              </w:rPr>
              <w:t>验收</w:t>
            </w:r>
            <w:r>
              <w:rPr>
                <w:rFonts w:ascii="宋体" w:hAnsi="宋体"/>
                <w:b/>
                <w:bCs/>
                <w:color w:val="000000" w:themeColor="text1"/>
                <w:szCs w:val="21"/>
              </w:rPr>
              <w:t>现场监测时间</w:t>
            </w:r>
          </w:p>
        </w:tc>
        <w:tc>
          <w:tcPr>
            <w:tcW w:w="2923"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2018年10月24日-25日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环评报告表</w:t>
            </w:r>
          </w:p>
          <w:p>
            <w:pPr>
              <w:jc w:val="center"/>
              <w:rPr>
                <w:rFonts w:ascii="宋体" w:hAnsi="宋体"/>
                <w:b/>
                <w:bCs/>
                <w:color w:val="000000" w:themeColor="text1"/>
                <w:szCs w:val="21"/>
              </w:rPr>
            </w:pPr>
            <w:r>
              <w:rPr>
                <w:rFonts w:ascii="宋体" w:hAnsi="宋体"/>
                <w:b/>
                <w:bCs/>
                <w:color w:val="000000" w:themeColor="text1"/>
                <w:szCs w:val="21"/>
              </w:rPr>
              <w:t>审批部门</w:t>
            </w:r>
          </w:p>
        </w:tc>
        <w:tc>
          <w:tcPr>
            <w:tcW w:w="1774" w:type="dxa"/>
            <w:tcBorders>
              <w:tl2br w:val="nil"/>
              <w:tr2bl w:val="nil"/>
            </w:tcBorders>
            <w:vAlign w:val="center"/>
          </w:tcPr>
          <w:p>
            <w:pPr>
              <w:jc w:val="center"/>
              <w:rPr>
                <w:rFonts w:ascii="宋体" w:hAnsi="宋体"/>
                <w:color w:val="000000" w:themeColor="text1"/>
                <w:szCs w:val="21"/>
              </w:rPr>
            </w:pPr>
            <w:r>
              <w:rPr>
                <w:rFonts w:hint="eastAsia"/>
                <w:color w:val="000000" w:themeColor="text1"/>
                <w:szCs w:val="21"/>
              </w:rPr>
              <w:t>南京市六合区环境保护局</w:t>
            </w:r>
          </w:p>
        </w:tc>
        <w:tc>
          <w:tcPr>
            <w:tcW w:w="2239"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环评报告表</w:t>
            </w:r>
          </w:p>
          <w:p>
            <w:pPr>
              <w:jc w:val="center"/>
              <w:rPr>
                <w:rFonts w:ascii="宋体" w:hAnsi="宋体"/>
                <w:b/>
                <w:bCs/>
                <w:color w:val="000000" w:themeColor="text1"/>
                <w:szCs w:val="21"/>
              </w:rPr>
            </w:pPr>
            <w:r>
              <w:rPr>
                <w:rFonts w:ascii="宋体" w:hAnsi="宋体"/>
                <w:b/>
                <w:bCs/>
                <w:color w:val="000000" w:themeColor="text1"/>
                <w:szCs w:val="21"/>
              </w:rPr>
              <w:t>编制单位</w:t>
            </w:r>
          </w:p>
        </w:tc>
        <w:tc>
          <w:tcPr>
            <w:tcW w:w="2923"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南京科泓环保技术有限责任公司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环保设施设计单位</w:t>
            </w:r>
          </w:p>
        </w:tc>
        <w:tc>
          <w:tcPr>
            <w:tcW w:w="1774"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w:t>
            </w:r>
          </w:p>
        </w:tc>
        <w:tc>
          <w:tcPr>
            <w:tcW w:w="2239"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环保设施施工单位</w:t>
            </w:r>
          </w:p>
        </w:tc>
        <w:tc>
          <w:tcPr>
            <w:tcW w:w="2923"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投资总概算</w:t>
            </w:r>
          </w:p>
        </w:tc>
        <w:tc>
          <w:tcPr>
            <w:tcW w:w="1774"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20000</w:t>
            </w:r>
            <w:r>
              <w:rPr>
                <w:rFonts w:hint="eastAsia"/>
                <w:color w:val="000000" w:themeColor="text1"/>
                <w:szCs w:val="21"/>
              </w:rPr>
              <w:t>万元</w:t>
            </w:r>
          </w:p>
        </w:tc>
        <w:tc>
          <w:tcPr>
            <w:tcW w:w="2239"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环保投资总概算</w:t>
            </w:r>
          </w:p>
        </w:tc>
        <w:tc>
          <w:tcPr>
            <w:tcW w:w="1036"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15万元</w:t>
            </w:r>
          </w:p>
        </w:tc>
        <w:tc>
          <w:tcPr>
            <w:tcW w:w="801"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比例</w:t>
            </w:r>
          </w:p>
        </w:tc>
        <w:tc>
          <w:tcPr>
            <w:tcW w:w="1086" w:type="dxa"/>
            <w:tcBorders>
              <w:tl2br w:val="nil"/>
              <w:tr2bl w:val="nil"/>
            </w:tcBorders>
            <w:vAlign w:val="center"/>
          </w:tcPr>
          <w:p>
            <w:pPr>
              <w:ind w:firstLine="210" w:firstLineChars="100"/>
              <w:rPr>
                <w:rFonts w:ascii="宋体" w:hAnsi="宋体"/>
                <w:color w:val="000000" w:themeColor="text1"/>
                <w:szCs w:val="21"/>
              </w:rPr>
            </w:pPr>
            <w:r>
              <w:rPr>
                <w:rFonts w:hint="eastAsia" w:ascii="宋体" w:hAnsi="宋体"/>
                <w:color w:val="000000" w:themeColor="text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418" w:type="dxa"/>
            <w:tcBorders>
              <w:tl2br w:val="nil"/>
              <w:tr2bl w:val="nil"/>
            </w:tcBorders>
            <w:vAlign w:val="center"/>
          </w:tcPr>
          <w:p>
            <w:pPr>
              <w:jc w:val="center"/>
              <w:rPr>
                <w:rFonts w:hint="eastAsia" w:ascii="宋体" w:hAnsi="宋体" w:eastAsia="宋体"/>
                <w:b/>
                <w:bCs/>
                <w:color w:val="000000" w:themeColor="text1"/>
                <w:szCs w:val="21"/>
                <w:lang w:eastAsia="zh-CN"/>
              </w:rPr>
            </w:pPr>
            <w:r>
              <w:rPr>
                <w:rFonts w:ascii="宋体" w:hAnsi="宋体"/>
                <w:b/>
                <w:bCs/>
                <w:color w:val="000000" w:themeColor="text1"/>
                <w:szCs w:val="21"/>
              </w:rPr>
              <w:t>实际</w:t>
            </w:r>
            <w:r>
              <w:rPr>
                <w:rFonts w:hint="eastAsia" w:ascii="宋体" w:hAnsi="宋体"/>
                <w:b/>
                <w:bCs/>
                <w:color w:val="000000" w:themeColor="text1"/>
                <w:szCs w:val="21"/>
                <w:lang w:eastAsia="zh-CN"/>
              </w:rPr>
              <w:t>总投资</w:t>
            </w:r>
          </w:p>
        </w:tc>
        <w:tc>
          <w:tcPr>
            <w:tcW w:w="1774"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1500</w:t>
            </w:r>
            <w:r>
              <w:rPr>
                <w:rFonts w:hint="eastAsia"/>
                <w:color w:val="000000" w:themeColor="text1"/>
                <w:szCs w:val="21"/>
              </w:rPr>
              <w:t>万元</w:t>
            </w:r>
          </w:p>
        </w:tc>
        <w:tc>
          <w:tcPr>
            <w:tcW w:w="2239"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环保投资</w:t>
            </w:r>
          </w:p>
        </w:tc>
        <w:tc>
          <w:tcPr>
            <w:tcW w:w="1036"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10万元</w:t>
            </w:r>
          </w:p>
        </w:tc>
        <w:tc>
          <w:tcPr>
            <w:tcW w:w="801"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比例</w:t>
            </w:r>
          </w:p>
        </w:tc>
        <w:tc>
          <w:tcPr>
            <w:tcW w:w="1086" w:type="dxa"/>
            <w:tcBorders>
              <w:tl2br w:val="nil"/>
              <w:tr2bl w:val="nil"/>
            </w:tcBorders>
            <w:vAlign w:val="center"/>
          </w:tcPr>
          <w:p>
            <w:pPr>
              <w:ind w:firstLine="210" w:firstLineChars="100"/>
              <w:rPr>
                <w:rFonts w:ascii="宋体" w:hAnsi="宋体"/>
                <w:color w:val="000000" w:themeColor="text1"/>
                <w:szCs w:val="21"/>
              </w:rPr>
            </w:pPr>
            <w:r>
              <w:rPr>
                <w:rFonts w:hint="eastAsia" w:ascii="宋体" w:hAnsi="宋体"/>
                <w:color w:val="000000" w:themeColor="text1"/>
                <w:szCs w:val="21"/>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3"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验收监测依据</w:t>
            </w:r>
          </w:p>
        </w:tc>
        <w:tc>
          <w:tcPr>
            <w:tcW w:w="6936" w:type="dxa"/>
            <w:gridSpan w:val="5"/>
            <w:tcBorders>
              <w:tl2br w:val="nil"/>
              <w:tr2bl w:val="nil"/>
            </w:tcBorders>
            <w:vAlign w:val="center"/>
          </w:tcPr>
          <w:p>
            <w:pPr>
              <w:rPr>
                <w:color w:val="000000" w:themeColor="text1"/>
                <w:szCs w:val="21"/>
              </w:rPr>
            </w:pPr>
            <w:r>
              <w:rPr>
                <w:rFonts w:hint="eastAsia"/>
                <w:color w:val="000000" w:themeColor="text1"/>
                <w:szCs w:val="21"/>
              </w:rPr>
              <w:t>（1）《建设项目环境保护管理条例》（2017年10月1日起施行）；</w:t>
            </w:r>
          </w:p>
          <w:p>
            <w:pPr>
              <w:rPr>
                <w:color w:val="000000" w:themeColor="text1"/>
                <w:szCs w:val="21"/>
              </w:rPr>
            </w:pPr>
            <w:r>
              <w:rPr>
                <w:rFonts w:hint="eastAsia"/>
                <w:color w:val="000000" w:themeColor="text1"/>
                <w:szCs w:val="21"/>
              </w:rPr>
              <w:t>（2）《建设项目竣工环境保护验收暂行办法》（2017年11月22日起施行）；</w:t>
            </w:r>
          </w:p>
          <w:p>
            <w:pPr>
              <w:rPr>
                <w:color w:val="000000" w:themeColor="text1"/>
                <w:szCs w:val="21"/>
              </w:rPr>
            </w:pPr>
            <w:r>
              <w:rPr>
                <w:rFonts w:hint="eastAsia"/>
                <w:color w:val="000000" w:themeColor="text1"/>
                <w:szCs w:val="21"/>
              </w:rPr>
              <w:t>（3）《关于规范建设单位自主开展建设项目竣工环境保护验收的通知》（环办环评函[2017]1235号）；</w:t>
            </w:r>
          </w:p>
          <w:p>
            <w:pPr>
              <w:rPr>
                <w:color w:val="000000" w:themeColor="text1"/>
                <w:szCs w:val="21"/>
              </w:rPr>
            </w:pPr>
            <w:r>
              <w:rPr>
                <w:rFonts w:hint="eastAsia" w:ascii="宋体" w:hAnsi="宋体"/>
                <w:color w:val="000000" w:themeColor="text1"/>
                <w:szCs w:val="21"/>
              </w:rPr>
              <w:t>（</w:t>
            </w:r>
            <w:r>
              <w:rPr>
                <w:rFonts w:hint="eastAsia"/>
                <w:color w:val="000000" w:themeColor="text1"/>
                <w:szCs w:val="21"/>
              </w:rPr>
              <w:t>4）《建设项目竣工环境保护验收技术指南 污染影响类》（生态环境部公告 2018年 第9号，2018年5月15日）；</w:t>
            </w:r>
          </w:p>
          <w:p>
            <w:pPr>
              <w:rPr>
                <w:color w:val="000000" w:themeColor="text1"/>
                <w:szCs w:val="21"/>
              </w:rPr>
            </w:pPr>
            <w:r>
              <w:rPr>
                <w:rFonts w:hint="eastAsia" w:ascii="宋体" w:hAnsi="宋体"/>
                <w:color w:val="000000" w:themeColor="text1"/>
                <w:szCs w:val="21"/>
              </w:rPr>
              <w:t>（5）</w:t>
            </w:r>
            <w:r>
              <w:rPr>
                <w:rFonts w:hint="eastAsia"/>
                <w:color w:val="000000" w:themeColor="text1"/>
                <w:szCs w:val="21"/>
              </w:rPr>
              <w:t>《</w:t>
            </w:r>
            <w:r>
              <w:rPr>
                <w:rFonts w:hint="eastAsia" w:ascii="宋体" w:hAnsi="宋体" w:cs="宋体"/>
                <w:color w:val="000000" w:themeColor="text1"/>
                <w:szCs w:val="21"/>
              </w:rPr>
              <w:t>江苏银环新材料科技有限公司</w:t>
            </w:r>
            <w:r>
              <w:rPr>
                <w:rFonts w:hint="eastAsia"/>
                <w:color w:val="000000" w:themeColor="text1"/>
                <w:szCs w:val="21"/>
              </w:rPr>
              <w:t>“</w:t>
            </w:r>
            <w:r>
              <w:rPr>
                <w:rFonts w:hint="eastAsia" w:ascii="宋体" w:hAnsi="宋体" w:cs="宋体"/>
                <w:color w:val="000000" w:themeColor="text1"/>
                <w:szCs w:val="21"/>
              </w:rPr>
              <w:t>自承式轻质钢筋桁架楼承板（第五代）生产线项目</w:t>
            </w:r>
            <w:r>
              <w:rPr>
                <w:rFonts w:hint="eastAsia"/>
                <w:color w:val="000000" w:themeColor="text1"/>
                <w:szCs w:val="21"/>
              </w:rPr>
              <w:t xml:space="preserve"> ”环境影响报告表》（</w:t>
            </w:r>
            <w:r>
              <w:rPr>
                <w:rFonts w:hint="eastAsia" w:ascii="宋体" w:hAnsi="宋体"/>
                <w:color w:val="000000" w:themeColor="text1"/>
                <w:szCs w:val="21"/>
              </w:rPr>
              <w:t>南京科泓环保技术有限责任公司</w:t>
            </w:r>
            <w:r>
              <w:rPr>
                <w:rFonts w:hint="eastAsia"/>
                <w:color w:val="000000" w:themeColor="text1"/>
                <w:szCs w:val="21"/>
              </w:rPr>
              <w:t>，</w:t>
            </w:r>
            <w:r>
              <w:rPr>
                <w:rFonts w:hint="eastAsia" w:ascii="宋体" w:hAnsi="宋体"/>
                <w:color w:val="000000" w:themeColor="text1"/>
                <w:szCs w:val="21"/>
              </w:rPr>
              <w:t>2014年6月</w:t>
            </w:r>
            <w:r>
              <w:rPr>
                <w:rFonts w:hint="eastAsia"/>
                <w:color w:val="000000" w:themeColor="text1"/>
                <w:szCs w:val="21"/>
              </w:rPr>
              <w:t>）；</w:t>
            </w:r>
          </w:p>
          <w:p>
            <w:pPr>
              <w:rPr>
                <w:color w:val="000000" w:themeColor="text1"/>
                <w:szCs w:val="21"/>
              </w:rPr>
            </w:pPr>
            <w:r>
              <w:rPr>
                <w:rFonts w:hint="eastAsia"/>
                <w:color w:val="000000" w:themeColor="text1"/>
                <w:szCs w:val="21"/>
              </w:rPr>
              <w:t>（6）《</w:t>
            </w:r>
            <w:r>
              <w:rPr>
                <w:rFonts w:hint="eastAsia" w:ascii="宋体" w:hAnsi="宋体" w:cs="宋体"/>
                <w:color w:val="000000" w:themeColor="text1"/>
                <w:szCs w:val="21"/>
              </w:rPr>
              <w:t>江苏银环新材料科技有限公司</w:t>
            </w:r>
            <w:r>
              <w:rPr>
                <w:rFonts w:hint="eastAsia"/>
                <w:color w:val="000000" w:themeColor="text1"/>
                <w:szCs w:val="21"/>
              </w:rPr>
              <w:t>“</w:t>
            </w:r>
            <w:r>
              <w:rPr>
                <w:rFonts w:hint="eastAsia" w:ascii="宋体" w:hAnsi="宋体" w:cs="宋体"/>
                <w:color w:val="000000" w:themeColor="text1"/>
                <w:szCs w:val="21"/>
              </w:rPr>
              <w:t>自承式轻质钢筋桁架楼承板（第五代）生产线项目</w:t>
            </w:r>
            <w:r>
              <w:rPr>
                <w:rFonts w:hint="eastAsia"/>
                <w:color w:val="000000" w:themeColor="text1"/>
                <w:szCs w:val="21"/>
              </w:rPr>
              <w:t xml:space="preserve"> ”环境影响报告表的批复》（南京市六合区环境保护局， 2014年7月15日） ；</w:t>
            </w:r>
          </w:p>
          <w:p>
            <w:pPr>
              <w:rPr>
                <w:color w:val="000000" w:themeColor="text1"/>
                <w:szCs w:val="21"/>
              </w:rPr>
            </w:pPr>
            <w:r>
              <w:rPr>
                <w:rFonts w:hint="eastAsia"/>
                <w:color w:val="000000" w:themeColor="text1"/>
                <w:szCs w:val="21"/>
              </w:rPr>
              <w:t xml:space="preserve">（7）《 </w:t>
            </w:r>
            <w:r>
              <w:rPr>
                <w:rFonts w:hint="eastAsia" w:ascii="宋体" w:hAnsi="宋体" w:cs="宋体"/>
                <w:color w:val="000000" w:themeColor="text1"/>
                <w:szCs w:val="21"/>
              </w:rPr>
              <w:t>江苏银环新材料科技有限公司</w:t>
            </w:r>
            <w:r>
              <w:rPr>
                <w:rFonts w:hint="eastAsia"/>
                <w:color w:val="000000" w:themeColor="text1"/>
                <w:szCs w:val="21"/>
              </w:rPr>
              <w:t>“</w:t>
            </w:r>
            <w:r>
              <w:rPr>
                <w:rFonts w:hint="eastAsia" w:ascii="宋体" w:hAnsi="宋体" w:cs="宋体"/>
                <w:color w:val="000000" w:themeColor="text1"/>
                <w:szCs w:val="21"/>
              </w:rPr>
              <w:t>自承式轻质钢筋桁架楼承板（第五代）生产线项目</w:t>
            </w:r>
            <w:r>
              <w:rPr>
                <w:rFonts w:hint="eastAsia"/>
                <w:color w:val="000000" w:themeColor="text1"/>
                <w:szCs w:val="21"/>
              </w:rPr>
              <w:t>”验收监测方案》（南京高博环境科技有限公司， 2018年10月）。</w:t>
            </w:r>
          </w:p>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3" w:hRule="atLeast"/>
          <w:jc w:val="center"/>
        </w:trPr>
        <w:tc>
          <w:tcPr>
            <w:tcW w:w="2418" w:type="dxa"/>
            <w:tcBorders>
              <w:tl2br w:val="nil"/>
              <w:tr2bl w:val="nil"/>
            </w:tcBorders>
            <w:vAlign w:val="center"/>
          </w:tcPr>
          <w:p>
            <w:pPr>
              <w:jc w:val="center"/>
              <w:rPr>
                <w:rFonts w:ascii="宋体" w:hAnsi="宋体"/>
                <w:b/>
                <w:bCs/>
                <w:color w:val="000000" w:themeColor="text1"/>
                <w:szCs w:val="21"/>
              </w:rPr>
            </w:pPr>
            <w:r>
              <w:rPr>
                <w:rFonts w:ascii="宋体" w:hAnsi="宋体"/>
                <w:b/>
                <w:bCs/>
                <w:color w:val="000000" w:themeColor="text1"/>
                <w:szCs w:val="21"/>
              </w:rPr>
              <w:t>验收监测评价标准</w:t>
            </w:r>
          </w:p>
        </w:tc>
        <w:tc>
          <w:tcPr>
            <w:tcW w:w="6936" w:type="dxa"/>
            <w:gridSpan w:val="5"/>
            <w:tcBorders>
              <w:tl2br w:val="nil"/>
              <w:tr2bl w:val="nil"/>
            </w:tcBorders>
          </w:tcPr>
          <w:p>
            <w:pPr>
              <w:numPr>
                <w:ilvl w:val="0"/>
                <w:numId w:val="1"/>
              </w:numPr>
              <w:rPr>
                <w:rFonts w:ascii="宋体" w:hAnsi="宋体"/>
                <w:color w:val="000000" w:themeColor="text1"/>
                <w:szCs w:val="21"/>
              </w:rPr>
            </w:pPr>
            <w:r>
              <w:rPr>
                <w:rFonts w:hint="eastAsia" w:ascii="宋体" w:hAnsi="宋体"/>
                <w:color w:val="000000" w:themeColor="text1"/>
                <w:szCs w:val="21"/>
              </w:rPr>
              <w:t>《污水综合排放标准》（GB8978-1996）；</w:t>
            </w:r>
          </w:p>
          <w:p>
            <w:pPr>
              <w:numPr>
                <w:ilvl w:val="0"/>
                <w:numId w:val="1"/>
              </w:numPr>
              <w:rPr>
                <w:rFonts w:ascii="宋体" w:hAnsi="宋体"/>
                <w:color w:val="000000" w:themeColor="text1"/>
                <w:szCs w:val="21"/>
              </w:rPr>
            </w:pPr>
            <w:r>
              <w:rPr>
                <w:rFonts w:hint="eastAsia" w:ascii="宋体" w:hAnsi="宋体"/>
                <w:color w:val="000000" w:themeColor="text1"/>
                <w:szCs w:val="21"/>
              </w:rPr>
              <w:t>《污水排入城镇下水道水质标准》（CJ343-2010）（批复标准）；</w:t>
            </w:r>
          </w:p>
          <w:p>
            <w:pPr>
              <w:numPr>
                <w:ilvl w:val="0"/>
                <w:numId w:val="1"/>
              </w:numPr>
              <w:rPr>
                <w:rFonts w:ascii="宋体" w:hAnsi="宋体"/>
                <w:color w:val="000000" w:themeColor="text1"/>
                <w:szCs w:val="21"/>
              </w:rPr>
            </w:pPr>
            <w:r>
              <w:rPr>
                <w:rFonts w:hint="eastAsia" w:ascii="宋体" w:hAnsi="宋体"/>
                <w:color w:val="000000" w:themeColor="text1"/>
                <w:szCs w:val="21"/>
              </w:rPr>
              <w:t>《污水排入城镇下水道水质标准》（GB/T31962-2015）（参照标准）</w:t>
            </w:r>
          </w:p>
          <w:p>
            <w:pPr>
              <w:numPr>
                <w:ilvl w:val="0"/>
                <w:numId w:val="1"/>
              </w:numPr>
              <w:rPr>
                <w:rFonts w:ascii="宋体" w:hAnsi="宋体"/>
                <w:color w:val="000000" w:themeColor="text1"/>
                <w:szCs w:val="21"/>
              </w:rPr>
            </w:pPr>
            <w:r>
              <w:rPr>
                <w:rFonts w:hint="eastAsia" w:ascii="宋体" w:hAnsi="宋体"/>
                <w:color w:val="000000" w:themeColor="text1"/>
                <w:szCs w:val="21"/>
              </w:rPr>
              <w:t>《大气污染物综合排放标准》（GB16297-1996）；</w:t>
            </w:r>
          </w:p>
          <w:p>
            <w:pPr>
              <w:numPr>
                <w:ilvl w:val="0"/>
                <w:numId w:val="1"/>
              </w:numPr>
              <w:rPr>
                <w:rFonts w:ascii="宋体" w:hAnsi="宋体"/>
                <w:color w:val="000000" w:themeColor="text1"/>
                <w:szCs w:val="21"/>
              </w:rPr>
            </w:pPr>
            <w:r>
              <w:rPr>
                <w:rFonts w:hint="eastAsia" w:ascii="宋体" w:hAnsi="宋体"/>
                <w:color w:val="000000" w:themeColor="text1"/>
                <w:szCs w:val="21"/>
              </w:rPr>
              <w:t>《饮食业油烟排放标准（试行）》（GB18483-2001）；</w:t>
            </w:r>
          </w:p>
          <w:p>
            <w:pPr>
              <w:numPr>
                <w:ilvl w:val="0"/>
                <w:numId w:val="1"/>
              </w:numPr>
              <w:rPr>
                <w:rFonts w:ascii="宋体" w:hAnsi="宋体"/>
                <w:color w:val="000000" w:themeColor="text1"/>
                <w:szCs w:val="21"/>
              </w:rPr>
            </w:pPr>
            <w:r>
              <w:rPr>
                <w:rFonts w:hint="eastAsia" w:ascii="宋体" w:hAnsi="宋体"/>
                <w:color w:val="000000" w:themeColor="text1"/>
                <w:szCs w:val="21"/>
              </w:rPr>
              <w:t>《工业企业厂界环境噪声排放标准》（GB12348-2008）。</w:t>
            </w:r>
          </w:p>
          <w:p>
            <w:pPr>
              <w:rPr>
                <w:rFonts w:ascii="宋体" w:hAnsi="宋体"/>
                <w:color w:val="000000" w:themeColor="text1"/>
                <w:szCs w:val="21"/>
              </w:rPr>
            </w:pPr>
          </w:p>
          <w:p>
            <w:pPr>
              <w:rPr>
                <w:rFonts w:ascii="宋体" w:hAnsi="宋体"/>
                <w:color w:val="FF0000"/>
                <w:szCs w:val="21"/>
              </w:rPr>
            </w:pPr>
          </w:p>
        </w:tc>
      </w:tr>
    </w:tbl>
    <w:p>
      <w:pPr>
        <w:outlineLvl w:val="0"/>
        <w:rPr>
          <w:b/>
          <w:color w:val="000000" w:themeColor="text1"/>
          <w:sz w:val="28"/>
          <w:szCs w:val="28"/>
        </w:rPr>
      </w:pPr>
      <w:bookmarkStart w:id="12" w:name="_Toc15893_WPSOffice_Level1"/>
      <w:bookmarkStart w:id="13" w:name="_Toc5340"/>
      <w:bookmarkStart w:id="14" w:name="_Toc12154"/>
      <w:bookmarkStart w:id="15" w:name="_Toc13202"/>
      <w:bookmarkStart w:id="16" w:name="_Toc8388"/>
      <w:bookmarkStart w:id="17" w:name="_Toc7182"/>
      <w:bookmarkStart w:id="18" w:name="_Toc32393"/>
      <w:bookmarkStart w:id="19" w:name="_Toc29030"/>
      <w:bookmarkStart w:id="20" w:name="_Toc17693"/>
      <w:bookmarkStart w:id="21" w:name="_Toc20027"/>
      <w:bookmarkStart w:id="22" w:name="_Toc4613"/>
      <w:r>
        <w:rPr>
          <w:rFonts w:hint="eastAsia"/>
          <w:b/>
          <w:color w:val="000000" w:themeColor="text1"/>
          <w:sz w:val="28"/>
          <w:szCs w:val="28"/>
        </w:rPr>
        <w:t>表二 工程建设情况</w:t>
      </w:r>
      <w:bookmarkEnd w:id="12"/>
      <w:bookmarkEnd w:id="13"/>
      <w:bookmarkEnd w:id="14"/>
      <w:bookmarkEnd w:id="15"/>
      <w:bookmarkEnd w:id="16"/>
      <w:bookmarkEnd w:id="17"/>
      <w:bookmarkEnd w:id="18"/>
      <w:bookmarkEnd w:id="19"/>
      <w:bookmarkEnd w:id="20"/>
      <w:bookmarkEnd w:id="21"/>
      <w:bookmarkEnd w:id="22"/>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pacing w:line="440" w:lineRule="exact"/>
              <w:jc w:val="left"/>
              <w:rPr>
                <w:rFonts w:ascii="宋体" w:hAnsi="宋体" w:cs="宋体"/>
                <w:b/>
                <w:color w:val="000000" w:themeColor="text1"/>
                <w:sz w:val="24"/>
              </w:rPr>
            </w:pPr>
            <w:r>
              <w:rPr>
                <w:rFonts w:hint="eastAsia" w:ascii="宋体" w:hAnsi="宋体"/>
                <w:b/>
                <w:color w:val="000000" w:themeColor="text1"/>
                <w:sz w:val="24"/>
              </w:rPr>
              <w:t>一</w:t>
            </w:r>
            <w:r>
              <w:rPr>
                <w:rFonts w:hint="eastAsia" w:ascii="宋体" w:hAnsi="宋体" w:cs="宋体"/>
                <w:b/>
                <w:color w:val="000000" w:themeColor="text1"/>
                <w:sz w:val="24"/>
              </w:rPr>
              <w:t>、项目由来</w:t>
            </w:r>
          </w:p>
          <w:p>
            <w:pPr>
              <w:spacing w:line="440" w:lineRule="exact"/>
              <w:ind w:firstLine="480" w:firstLineChars="200"/>
              <w:jc w:val="left"/>
              <w:rPr>
                <w:rFonts w:ascii="宋体" w:hAnsi="宋体" w:cs="宋体"/>
                <w:color w:val="000000" w:themeColor="text1"/>
                <w:sz w:val="24"/>
              </w:rPr>
            </w:pPr>
            <w:r>
              <w:rPr>
                <w:rFonts w:hint="eastAsia" w:ascii="宋体" w:hAnsi="宋体" w:cs="宋体"/>
                <w:color w:val="000000" w:themeColor="text1"/>
                <w:sz w:val="24"/>
              </w:rPr>
              <w:t>江苏银环新材料科技有限公司自承式轻质钢筋桁架楼承板（第五代）生产线项目位于南京市六合经济开发区新港湾路以东、云海玻璃以西，建设厂房及附属设施为22461m</w:t>
            </w:r>
            <w:r>
              <w:rPr>
                <w:rFonts w:hint="eastAsia" w:ascii="宋体" w:hAnsi="宋体" w:cs="宋体"/>
                <w:color w:val="000000" w:themeColor="text1"/>
                <w:sz w:val="24"/>
                <w:vertAlign w:val="superscript"/>
              </w:rPr>
              <w:t>2</w:t>
            </w:r>
            <w:r>
              <w:rPr>
                <w:rFonts w:hint="eastAsia" w:ascii="宋体" w:hAnsi="宋体" w:cs="宋体"/>
                <w:color w:val="000000" w:themeColor="text1"/>
                <w:sz w:val="24"/>
              </w:rPr>
              <w:t>，总投资1500万元。</w:t>
            </w:r>
          </w:p>
          <w:p>
            <w:pPr>
              <w:spacing w:line="440" w:lineRule="exact"/>
              <w:ind w:firstLine="480" w:firstLineChars="200"/>
              <w:jc w:val="left"/>
              <w:rPr>
                <w:rFonts w:ascii="宋体" w:hAnsi="宋体" w:cs="宋体"/>
                <w:color w:val="FF0000"/>
                <w:sz w:val="24"/>
              </w:rPr>
            </w:pPr>
            <w:r>
              <w:rPr>
                <w:rFonts w:hint="eastAsia" w:ascii="宋体" w:hAnsi="宋体" w:cs="宋体"/>
                <w:color w:val="000000" w:themeColor="text1"/>
                <w:sz w:val="24"/>
              </w:rPr>
              <w:t>公司于2014年6月委托南京科泓环保技术有限责任公司完成《江苏银环新材料科技有限公司“自承式轻质钢筋桁架楼承板（第五代）生产线项目 ”环境影响报告表》编制，2014年7月15日取得六合区环保局批复。项目于2016年6月开工，201</w:t>
            </w:r>
            <w:r>
              <w:rPr>
                <w:rFonts w:hint="eastAsia" w:ascii="宋体" w:hAnsi="宋体" w:cs="宋体"/>
                <w:color w:val="000000" w:themeColor="text1"/>
                <w:sz w:val="24"/>
                <w:lang w:val="en-US" w:eastAsia="zh-CN"/>
              </w:rPr>
              <w:t>8</w:t>
            </w:r>
            <w:r>
              <w:rPr>
                <w:rFonts w:hint="eastAsia" w:ascii="宋体" w:hAnsi="宋体" w:cs="宋体"/>
                <w:color w:val="000000" w:themeColor="text1"/>
                <w:sz w:val="24"/>
              </w:rPr>
              <w:t>年</w:t>
            </w:r>
            <w:r>
              <w:rPr>
                <w:rFonts w:hint="eastAsia" w:ascii="宋体" w:hAnsi="宋体" w:cs="宋体"/>
                <w:color w:val="000000" w:themeColor="text1"/>
                <w:sz w:val="24"/>
                <w:lang w:val="en-US" w:eastAsia="zh-CN"/>
              </w:rPr>
              <w:t>3</w:t>
            </w:r>
            <w:r>
              <w:rPr>
                <w:rFonts w:hint="eastAsia" w:ascii="宋体" w:hAnsi="宋体" w:cs="宋体"/>
                <w:color w:val="000000" w:themeColor="text1"/>
                <w:sz w:val="24"/>
              </w:rPr>
              <w:t xml:space="preserve">月竣工并调试生产。本项目职工48人，年工作260天，1班制，每班工作时间段为8:00-17:00，设有食堂。 </w:t>
            </w:r>
          </w:p>
          <w:p>
            <w:pPr>
              <w:spacing w:line="440" w:lineRule="exact"/>
              <w:ind w:firstLine="480" w:firstLineChars="200"/>
              <w:jc w:val="left"/>
              <w:rPr>
                <w:rFonts w:ascii="宋体" w:hAnsi="宋体" w:cs="宋体"/>
                <w:color w:val="000000" w:themeColor="text1"/>
                <w:sz w:val="24"/>
              </w:rPr>
            </w:pPr>
            <w:r>
              <w:rPr>
                <w:rFonts w:hint="eastAsia" w:ascii="宋体" w:hAnsi="宋体" w:cs="宋体"/>
                <w:color w:val="000000" w:themeColor="text1"/>
                <w:sz w:val="24"/>
              </w:rPr>
              <w:t>项目环评设计内容为年产钢筋桁架楼承板5万吨、压型钢板2万吨、冷弯型刚3万吨生产能力，目前实际建设内容为年产钢筋桁架楼承板1.5万吨，年产压型钢板0.4万吨，年产冷弯型钢0.1万吨生产能力。</w:t>
            </w:r>
          </w:p>
          <w:p>
            <w:pPr>
              <w:pStyle w:val="4"/>
              <w:adjustRightInd w:val="0"/>
              <w:snapToGrid w:val="0"/>
              <w:spacing w:line="440" w:lineRule="exact"/>
              <w:ind w:firstLine="480" w:firstLineChars="200"/>
              <w:rPr>
                <w:rFonts w:hAnsi="宋体" w:cs="宋体"/>
                <w:color w:val="000000" w:themeColor="text1"/>
                <w:sz w:val="24"/>
              </w:rPr>
            </w:pPr>
            <w:r>
              <w:rPr>
                <w:rFonts w:hint="eastAsia" w:hAnsi="宋体" w:cs="宋体"/>
                <w:color w:val="000000" w:themeColor="text1"/>
                <w:sz w:val="24"/>
              </w:rPr>
              <w:t>2018年9月，江苏银环材料科技有限公司委托南京高博环境科技有限公司为该项目进行验收监测。南京高博环境科技有限公司接受委托后，按照环保部《建设项目竣工环境保护验收暂行办法》（国环规环评[2017]4号）等有关要求，组织专业技术人员于2018年10月3日对该项目中废气、废水、噪声、固体废弃物等污染源排放现状和各类环保治理设施的处理能力进行了现场勘查，在调研及收集查阅有关资料的基础上，编制了本项目竣工验收监测方案。南京高博环境科技有限公司于2018年10月24日-25日实施了现场监测和环保验收管理检查，根据现场调查情况和检测结果编制完成项目竣工环境保护验收监测报告表。</w:t>
            </w:r>
          </w:p>
          <w:p>
            <w:pPr>
              <w:numPr>
                <w:ilvl w:val="0"/>
                <w:numId w:val="2"/>
              </w:numPr>
              <w:snapToGrid w:val="0"/>
              <w:spacing w:line="440" w:lineRule="exact"/>
              <w:rPr>
                <w:rFonts w:ascii="宋体" w:hAnsi="宋体" w:cs="宋体"/>
                <w:b/>
                <w:bCs/>
                <w:color w:val="000000" w:themeColor="text1"/>
                <w:sz w:val="24"/>
              </w:rPr>
            </w:pPr>
            <w:r>
              <w:rPr>
                <w:rFonts w:hint="eastAsia" w:ascii="宋体" w:hAnsi="宋体" w:cs="宋体"/>
                <w:b/>
                <w:bCs/>
                <w:color w:val="000000" w:themeColor="text1"/>
                <w:sz w:val="24"/>
              </w:rPr>
              <w:t>项目建设内容</w:t>
            </w:r>
          </w:p>
          <w:p>
            <w:pPr>
              <w:spacing w:line="440" w:lineRule="exact"/>
              <w:jc w:val="left"/>
              <w:rPr>
                <w:rFonts w:ascii="宋体" w:hAnsi="宋体" w:cs="宋体"/>
                <w:b/>
                <w:bCs/>
                <w:color w:val="000000" w:themeColor="text1"/>
                <w:sz w:val="24"/>
              </w:rPr>
            </w:pPr>
            <w:r>
              <w:rPr>
                <w:rFonts w:hint="eastAsia" w:ascii="宋体" w:hAnsi="宋体" w:cs="宋体"/>
                <w:b/>
                <w:bCs/>
                <w:color w:val="000000" w:themeColor="text1"/>
                <w:sz w:val="24"/>
              </w:rPr>
              <w:t>1、地理位置及平面布置</w:t>
            </w:r>
          </w:p>
          <w:p>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项目位于南京市六合经济开发区新港湾路以东、云海玻璃以西，建设项目东面和北面为空地，南侧20米为云海汽车玻璃设备制造公司，西侧为新港湾路，路西为空地。</w:t>
            </w:r>
          </w:p>
          <w:p>
            <w:pPr>
              <w:spacing w:line="360" w:lineRule="auto"/>
              <w:ind w:firstLine="480" w:firstLineChars="200"/>
              <w:rPr>
                <w:rFonts w:ascii="宋体" w:hAnsi="宋体"/>
                <w:bCs/>
                <w:color w:val="FF0000"/>
                <w:sz w:val="24"/>
              </w:rPr>
            </w:pPr>
            <w:r>
              <w:rPr>
                <w:rFonts w:hint="eastAsia" w:ascii="宋体" w:hAnsi="宋体" w:cs="宋体"/>
                <w:color w:val="000000" w:themeColor="text1"/>
                <w:sz w:val="24"/>
              </w:rPr>
              <w:t>项目地理位置见图2-1，周边情况见图2-2，平面布置及监测点示意位见图2-3。</w:t>
            </w:r>
          </w:p>
        </w:tc>
      </w:tr>
    </w:tbl>
    <w:p>
      <w:pPr>
        <w:rPr>
          <w:b/>
          <w:color w:val="FF0000"/>
          <w:sz w:val="28"/>
          <w:szCs w:val="28"/>
        </w:rPr>
        <w:sectPr>
          <w:headerReference r:id="rId12" w:type="default"/>
          <w:footerReference r:id="rId13" w:type="default"/>
          <w:pgSz w:w="11906" w:h="16838"/>
          <w:pgMar w:top="1440" w:right="1588" w:bottom="1134" w:left="1588" w:header="851" w:footer="992" w:gutter="0"/>
          <w:pgNumType w:start="1"/>
          <w:cols w:space="720" w:num="1"/>
          <w:docGrid w:linePitch="312" w:charSpace="0"/>
        </w:sectPr>
      </w:pPr>
    </w:p>
    <w:p>
      <w:pPr>
        <w:rPr>
          <w:b/>
          <w:color w:val="000000" w:themeColor="text1"/>
          <w:sz w:val="28"/>
          <w:szCs w:val="28"/>
        </w:rPr>
      </w:pPr>
      <w:bookmarkStart w:id="23" w:name="_Toc26484"/>
      <w:bookmarkStart w:id="24" w:name="_Toc6929"/>
      <w:bookmarkStart w:id="25" w:name="_Toc32565"/>
      <w:bookmarkStart w:id="26" w:name="_Toc20940_WPSOffice_Level1"/>
      <w:bookmarkStart w:id="27" w:name="_Toc1991"/>
      <w:bookmarkStart w:id="28" w:name="_Toc11443"/>
      <w:bookmarkStart w:id="29" w:name="_Toc12359"/>
      <w:bookmarkStart w:id="30" w:name="_Toc26169"/>
      <w:bookmarkStart w:id="31" w:name="_Toc20298"/>
      <w:bookmarkStart w:id="32" w:name="_Toc14464"/>
      <w:bookmarkStart w:id="33" w:name="_Toc12907"/>
      <w:bookmarkStart w:id="34" w:name="_Toc16964"/>
      <w:r>
        <w:rPr>
          <w:rFonts w:hint="eastAsia"/>
          <w:b/>
          <w:color w:val="000000" w:themeColor="text1"/>
          <w:sz w:val="28"/>
          <w:szCs w:val="28"/>
        </w:rPr>
        <w:t>续表二</w:t>
      </w:r>
      <w:bookmarkEnd w:id="23"/>
      <w:bookmarkEnd w:id="24"/>
      <w:bookmarkEnd w:id="25"/>
      <w:bookmarkEnd w:id="26"/>
      <w:bookmarkEnd w:id="27"/>
    </w:p>
    <w:tbl>
      <w:tblPr>
        <w:tblStyle w:val="13"/>
        <w:tblpPr w:leftFromText="180" w:rightFromText="180" w:vertAnchor="text" w:horzAnchor="page" w:tblpX="1138" w:tblpY="136"/>
        <w:tblOverlap w:val="never"/>
        <w:tblW w:w="14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5" w:hRule="atLeast"/>
        </w:trPr>
        <w:tc>
          <w:tcPr>
            <w:tcW w:w="14295" w:type="dxa"/>
          </w:tcPr>
          <w:p>
            <w:pPr>
              <w:rPr>
                <w:rFonts w:ascii="黑体" w:eastAsia="黑体"/>
                <w:color w:val="FF0000"/>
                <w:sz w:val="24"/>
              </w:rPr>
            </w:pPr>
            <w:r>
              <w:rPr>
                <w:rFonts w:hint="eastAsia" w:ascii="黑体" w:eastAsia="黑体"/>
                <w:color w:val="FF0000"/>
                <w:sz w:val="24"/>
              </w:rPr>
              <w:t xml:space="preserve">       </w:t>
            </w:r>
          </w:p>
          <w:p>
            <w:pPr>
              <w:jc w:val="center"/>
              <w:rPr>
                <w:rFonts w:ascii="黑体" w:eastAsia="黑体"/>
                <w:color w:val="FF0000"/>
                <w:sz w:val="24"/>
              </w:rPr>
            </w:pPr>
            <w:r>
              <w:rPr>
                <w:sz w:val="24"/>
              </w:rPr>
              <mc:AlternateContent>
                <mc:Choice Requires="wps">
                  <w:drawing>
                    <wp:anchor distT="0" distB="0" distL="114300" distR="114300" simplePos="0" relativeHeight="251717632" behindDoc="0" locked="0" layoutInCell="1" allowOverlap="1">
                      <wp:simplePos x="0" y="0"/>
                      <wp:positionH relativeFrom="column">
                        <wp:posOffset>4466590</wp:posOffset>
                      </wp:positionH>
                      <wp:positionV relativeFrom="paragraph">
                        <wp:posOffset>1788795</wp:posOffset>
                      </wp:positionV>
                      <wp:extent cx="914400" cy="281940"/>
                      <wp:effectExtent l="6350" t="6350" r="12700" b="54610"/>
                      <wp:wrapNone/>
                      <wp:docPr id="18" name="矩形标注 18"/>
                      <wp:cNvGraphicFramePr/>
                      <a:graphic xmlns:a="http://schemas.openxmlformats.org/drawingml/2006/main">
                        <a:graphicData uri="http://schemas.microsoft.com/office/word/2010/wordprocessingShape">
                          <wps:wsp>
                            <wps:cNvSpPr/>
                            <wps:spPr>
                              <a:xfrm>
                                <a:off x="5716270" y="4468495"/>
                                <a:ext cx="914400" cy="281940"/>
                              </a:xfrm>
                              <a:prstGeom prst="wedgeRectCallout">
                                <a:avLst/>
                              </a:prstGeom>
                              <a:noFill/>
                              <a:ln w="12700" cap="flat" cmpd="sng" algn="ctr">
                                <a:solidFill>
                                  <a:srgbClr val="FF0000"/>
                                </a:solidFill>
                                <a:prstDash val="solid"/>
                                <a:miter lim="800000"/>
                              </a:ln>
                              <a:effectLst/>
                            </wps:spPr>
                            <wps:txbx>
                              <w:txbxContent>
                                <w:p>
                                  <w:pPr>
                                    <w:rPr>
                                      <w:color w:val="FF0000"/>
                                    </w:rPr>
                                  </w:pPr>
                                  <w:r>
                                    <w:rPr>
                                      <w:rFonts w:hint="eastAsia"/>
                                      <w:color w:val="FF0000"/>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7pt;margin-top:140.85pt;height:22.2pt;width:72pt;z-index:251717632;v-text-anchor:middle;mso-width-relative:page;mso-height-relative:page;" filled="f" stroked="t" coordsize="21600,21600" o:gfxdata="UEsDBAoAAAAAAIdO4kAAAAAAAAAAAAAAAAAEAAAAZHJzL1BLAwQUAAAACACHTuJAQA9G2tsAAAAL&#10;AQAADwAAAGRycy9kb3ducmV2LnhtbE2PwU7DMAyG70i8Q2QkbixpO61daboDEtOQOMAY0o5pY5pq&#10;TVI12TreHnOCo+1fn7+/2lztwC44hd47CclCAEPXet27TsLh4/mhABaicloN3qGEbwywqW9vKlVq&#10;P7t3vOxjxwjiQqkkmBjHkvPQGrQqLPyIjm5ffrIq0jh1XE9qJrgdeCrEilvVO/pg1IhPBtvT/myJ&#10;0qy3p7fDi/mMcTu3r9lu13dHKe/vEvEILOI1/oXhV5/UoSanxp+dDmyQkItsSVEJaZHkwChRLHPa&#10;NBKydJUAryv+v0P9A1BLAwQUAAAACACHTuJAoP2arHsCAAC1BAAADgAAAGRycy9lMm9Eb2MueG1s&#10;rVTNbhMxEL4j8Q6W73STaNumUTdVlCoIqYKKgjg7Xm/Wkv+wnWzKC/AYIE5w5szjUF6Dz97tDz8n&#10;RA7OjGc8M983M3t6tteK7IQP0pqKjg9GlAjDbS3NpqKvX62eTCkJkZmaKWtERa9FoGfzx49OOzcT&#10;E9taVQtPEMSEWecq2sboZkUReCs0CwfWCQNjY71mEarfFLVnHaJrVUxGo6Ois7523nIRAm7PeyOd&#10;5/hNI3h80TRBRKIqitpiPn0+1+ks5qdstvHMtZIPZbB/qEIzaZD0LtQ5i4xsvfwjlJbc22CbeMCt&#10;LmzTSC4yBqAZj35Dc9UyJzIWkBPcHU3h/4Xlz3eXnsgavUOnDNPo0Y8PX75/+3Tz8f3N188E1+Co&#10;c2EG1yt36QctQEyA943X6R9QyL6ih8fjo8kxmL6uaFkeTcuTw55jsY+Ew+FkXJYj2DkcJtPxSZl7&#10;UNwHcj7Ep8JqkoSKdqLeiJfo45IpZbcxs8x2FyGiEDy7dU81GLuSSuWWKkM6YEIpKRfDZDWKRYja&#10;AWswG0qY2mBkefQ5ZLBK1ul5ChT8Zr1UnuwYxma1GuGXUCDdL24p9zkLbe+XTT1YLSOmWkld0Wl6&#10;fPtamRRd5LkcECRmey6TFPfr/UDw2tbXaI23/cwGx1cS+S5YiJfMY0gBDIsXX+BolAVaO0iUtNa/&#10;+9t98sfswEpJh6EHE2+3zAtK1DODqcrNwZZkpTw8niCHf2hZP7SYrV5aEDTGijuexeQf1a3YeKvf&#10;YD8XKStMzHDk7jkflGXslxEbzsVikd2wGY7FC3PleAred3axjbaRuemJqJ4dtCQp2I3cnGGP0/I9&#10;1LPX/ddm/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D0ba2wAAAAsBAAAPAAAAAAAAAAEAIAAA&#10;ACIAAABkcnMvZG93bnJldi54bWxQSwECFAAUAAAACACHTuJAoP2arHsCAAC1BAAADgAAAAAAAAAB&#10;ACAAAAAqAQAAZHJzL2Uyb0RvYy54bWxQSwUGAAAAAAYABgBZAQAAFwYAAAAA&#10;" adj="6300,24300">
                      <v:fill on="f" focussize="0,0"/>
                      <v:stroke weight="1pt" color="#FF0000" miterlimit="8" joinstyle="miter"/>
                      <v:imagedata o:title=""/>
                      <o:lock v:ext="edit" aspectratio="f"/>
                      <v:textbox>
                        <w:txbxContent>
                          <w:p>
                            <w:pPr>
                              <w:rPr>
                                <w:color w:val="FF0000"/>
                              </w:rPr>
                            </w:pPr>
                            <w:r>
                              <w:rPr>
                                <w:rFonts w:hint="eastAsia"/>
                                <w:color w:val="FF0000"/>
                              </w:rPr>
                              <w:t>项目所在地</w:t>
                            </w:r>
                          </w:p>
                        </w:txbxContent>
                      </v:textbox>
                    </v:shape>
                  </w:pict>
                </mc:Fallback>
              </mc:AlternateContent>
            </w:r>
            <w:r>
              <w:rPr>
                <w:rFonts w:ascii="黑体" w:eastAsia="黑体"/>
                <w:color w:val="FF0000"/>
                <w:sz w:val="24"/>
              </w:rPr>
              <w:drawing>
                <wp:inline distT="0" distB="0" distL="114300" distR="114300">
                  <wp:extent cx="7730490" cy="4391660"/>
                  <wp:effectExtent l="0" t="0" r="3810" b="8890"/>
                  <wp:docPr id="17" name="图片 17" descr="pt2018_10_25_08_33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t2018_10_25_08_33_42"/>
                          <pic:cNvPicPr>
                            <a:picLocks noChangeAspect="1"/>
                          </pic:cNvPicPr>
                        </pic:nvPicPr>
                        <pic:blipFill>
                          <a:blip r:embed="rId34" cstate="print"/>
                          <a:stretch>
                            <a:fillRect/>
                          </a:stretch>
                        </pic:blipFill>
                        <pic:spPr>
                          <a:xfrm>
                            <a:off x="0" y="0"/>
                            <a:ext cx="7730490" cy="4391660"/>
                          </a:xfrm>
                          <a:prstGeom prst="rect">
                            <a:avLst/>
                          </a:prstGeom>
                        </pic:spPr>
                      </pic:pic>
                    </a:graphicData>
                  </a:graphic>
                </wp:inline>
              </w:drawing>
            </w:r>
          </w:p>
          <w:p>
            <w:pPr>
              <w:pStyle w:val="2"/>
              <w:spacing w:line="336" w:lineRule="auto"/>
              <w:jc w:val="center"/>
              <w:rPr>
                <w:rFonts w:ascii="黑体" w:eastAsia="黑体"/>
                <w:color w:val="FF0000"/>
                <w:sz w:val="24"/>
              </w:rPr>
            </w:pPr>
            <w:r>
              <w:rPr>
                <w:rFonts w:hint="eastAsia" w:ascii="黑体" w:eastAsia="黑体"/>
                <w:color w:val="000000" w:themeColor="text1"/>
                <w:sz w:val="24"/>
              </w:rPr>
              <w:t>图2-1项目地理位置图</w:t>
            </w:r>
          </w:p>
        </w:tc>
      </w:tr>
    </w:tbl>
    <w:p>
      <w:pPr>
        <w:spacing w:line="336" w:lineRule="auto"/>
        <w:jc w:val="left"/>
        <w:rPr>
          <w:rFonts w:ascii="宋体" w:hAnsi="宋体"/>
          <w:color w:val="FF0000"/>
          <w:sz w:val="24"/>
          <w:szCs w:val="22"/>
        </w:rPr>
        <w:sectPr>
          <w:footerReference r:id="rId14" w:type="default"/>
          <w:pgSz w:w="16838" w:h="11906" w:orient="landscape"/>
          <w:pgMar w:top="1588" w:right="1440" w:bottom="1588" w:left="1134" w:header="851" w:footer="992" w:gutter="0"/>
          <w:cols w:space="720" w:num="1"/>
          <w:docGrid w:linePitch="312" w:charSpace="0"/>
        </w:sectPr>
      </w:pPr>
    </w:p>
    <w:p>
      <w:pPr>
        <w:rPr>
          <w:b/>
          <w:color w:val="000000" w:themeColor="text1"/>
          <w:sz w:val="28"/>
          <w:szCs w:val="28"/>
        </w:rPr>
      </w:pPr>
      <w:bookmarkStart w:id="35" w:name="_Toc4132_WPSOffice_Level1"/>
      <w:r>
        <w:rPr>
          <w:rFonts w:hint="eastAsia"/>
          <w:b/>
          <w:color w:val="000000" w:themeColor="text1"/>
          <w:sz w:val="28"/>
          <w:szCs w:val="28"/>
        </w:rPr>
        <w:t>续表二</w:t>
      </w:r>
      <w:bookmarkEnd w:id="35"/>
    </w:p>
    <w:tbl>
      <w:tblPr>
        <w:tblStyle w:val="13"/>
        <w:tblW w:w="14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0" w:type="dxa"/>
          </w:tcPr>
          <w:p>
            <w:pPr>
              <w:jc w:val="center"/>
              <w:rPr>
                <w:b/>
                <w:color w:val="FF0000"/>
                <w:sz w:val="28"/>
                <w:szCs w:val="28"/>
              </w:rPr>
            </w:pPr>
          </w:p>
          <w:p>
            <w:pPr>
              <w:jc w:val="center"/>
              <w:rPr>
                <w:b/>
                <w:color w:val="FF0000"/>
                <w:sz w:val="28"/>
                <w:szCs w:val="28"/>
              </w:rPr>
            </w:pPr>
            <w:r>
              <w:rPr>
                <w:sz w:val="28"/>
              </w:rPr>
              <mc:AlternateContent>
                <mc:Choice Requires="wps">
                  <w:drawing>
                    <wp:anchor distT="0" distB="0" distL="114300" distR="114300" simplePos="0" relativeHeight="251778048" behindDoc="0" locked="0" layoutInCell="1" allowOverlap="1">
                      <wp:simplePos x="0" y="0"/>
                      <wp:positionH relativeFrom="column">
                        <wp:posOffset>3925570</wp:posOffset>
                      </wp:positionH>
                      <wp:positionV relativeFrom="paragraph">
                        <wp:posOffset>1684655</wp:posOffset>
                      </wp:positionV>
                      <wp:extent cx="688975" cy="289560"/>
                      <wp:effectExtent l="0" t="0" r="0" b="0"/>
                      <wp:wrapNone/>
                      <wp:docPr id="38" name="圆角矩形标注 38"/>
                      <wp:cNvGraphicFramePr/>
                      <a:graphic xmlns:a="http://schemas.openxmlformats.org/drawingml/2006/main">
                        <a:graphicData uri="http://schemas.microsoft.com/office/word/2010/wordprocessingShape">
                          <wps:wsp>
                            <wps:cNvSpPr/>
                            <wps:spPr>
                              <a:xfrm>
                                <a:off x="5613400" y="3170555"/>
                                <a:ext cx="688975" cy="289560"/>
                              </a:xfrm>
                              <a:prstGeom prst="wedgeRoundRectCallout">
                                <a:avLst/>
                              </a:prstGeom>
                              <a:noFill/>
                              <a:ln w="12700" cap="flat" cmpd="sng" algn="ctr">
                                <a:noFill/>
                                <a:prstDash val="solid"/>
                                <a:miter lim="800000"/>
                              </a:ln>
                              <a:effectLst/>
                            </wps:spPr>
                            <wps:txbx>
                              <w:txbxContent>
                                <w:p>
                                  <w:pPr>
                                    <w:jc w:val="center"/>
                                    <w:rPr>
                                      <w:color w:val="000000" w:themeColor="text1"/>
                                    </w:rPr>
                                  </w:pPr>
                                  <w:r>
                                    <w:rPr>
                                      <w:rFonts w:hint="eastAsia"/>
                                      <w:color w:val="000000" w:themeColor="text1"/>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9.1pt;margin-top:132.65pt;height:22.8pt;width:54.25pt;z-index:251778048;v-text-anchor:middle;mso-width-relative:page;mso-height-relative:page;" filled="f" stroked="f" coordsize="21600,21600" o:gfxdata="UEsDBAoAAAAAAIdO4kAAAAAAAAAAAAAAAAAEAAAAZHJzL1BLAwQUAAAACACHTuJA93PjIdsAAAAL&#10;AQAADwAAAGRycy9kb3ducmV2LnhtbE2PTU/DMAxA70j8h8hI3FjSTnSjNN2BaVxgSGwIOGaNaas1&#10;TmmyL3495sSOlp+en4vZ0XVij0NoPWlIRgoEUuVtS7WGt/XiZgoiREPWdJ5QwwkDzMrLi8Lk1h/o&#10;FferWAuWUMiNhibGPpcyVA06E0a+R+Ldlx+ciTwOtbSDObDcdTJVKpPOtMQXGtPjQ4PVdrVzGrKl&#10;rJ9/PranuHj6/G7n88eXpX/X+voqUfcgIh7jPwx/+ZwOJTdt/I5sEB07kmnKqIY0ux2DYGKSZhMQ&#10;Gw3jRN2BLAt5/kP5C1BLAwQUAAAACACHTuJAyuvez3sCAACXBAAADgAAAGRycy9lMm9Eb2MueG1s&#10;rVTNbhMxEL4j8Q6W73Q3aTZJo26qqFURUgVVC+LseL1ZS7bH2E425QHgzhkJxAU4c+ZxWngMxt5t&#10;GwEnRA7OjGc8P998s4dHW63IRjgvwZR0sJdTIgyHSppVSV88P300pcQHZiqmwIiSXglPj+YPHxy2&#10;diaG0ICqhCMYxPhZa0vahGBnWeZ5IzTze2CFQWMNTrOAqltllWMtRtcqG+b5OGvBVdYBF97j7Uln&#10;pPMUv64FD8/q2otAVEmxtpBOl85lPLP5IZutHLON5H0Z7B+q0EwaTHoX6oQFRtZO/hFKS+7AQx32&#10;OOgM6lpykXrAbgb5b91cNsyK1AuC4+0dTP7/heVPN+eOyKqk+zgpwzTO6Pr9m5+f3/348PX6+6eb&#10;j29vvn0haESkWutn+ODSnrte8yjGtre10/EfGyLbkhbjwf4oR7yvMO5gkhdF0SEttoFwdBhPpweT&#10;ghKODsPpQTFOk8juA1nnw2MBmkShpK2oVuIC1qa6wJEeM6VgHRLgbHPmA1aDb2/fxEIMnEql0nSV&#10;IS1ScziJBXGGJKsVCyhqi217s6KEqRWylweXQu68jSFPmG/IhiGBPChZdY1oGZC3SuqSTvP4i9dY&#10;gzIxu0jM6wuLqHU4RSlsl9sevCVUVwi+g46V3vJTifnOmA/nzCENsV5crfAMj1oBNgG9REkD7vXf&#10;7qM/sgOtlLRIayz61Zo5QYl6YpA3B4PRKO5BUkbFZIiK27Usdy1mrY8BGx/gEluexOgf1K1YO9Av&#10;cQMXMSuamOGYu4OyV45Dt264w1wsFskNuW9ZODOXlsfg3cAW6wC1TLOMQHXoIKhRQfYnePtNjeu1&#10;qyev++/J/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3c+Mh2wAAAAsBAAAPAAAAAAAAAAEAIAAA&#10;ACIAAABkcnMvZG93bnJldi54bWxQSwECFAAUAAAACACHTuJAyuvez3sCAACXBAAADgAAAAAAAAAB&#10;ACAAAAAqAQAAZHJzL2Uyb0RvYy54bWxQSwUGAAAAAAYABgBZAQAAFwYAAAAA&#10;" adj="6300,24300,14400">
                      <v:fill on="f" focussize="0,0"/>
                      <v:stroke on="f" weight="1pt" miterlimit="8" joinstyle="miter"/>
                      <v:imagedata o:title=""/>
                      <o:lock v:ext="edit" aspectratio="f"/>
                      <v:textbox>
                        <w:txbxContent>
                          <w:p>
                            <w:pPr>
                              <w:jc w:val="center"/>
                              <w:rPr>
                                <w:color w:val="000000" w:themeColor="text1"/>
                              </w:rPr>
                            </w:pPr>
                            <w:r>
                              <w:rPr>
                                <w:rFonts w:hint="eastAsia"/>
                                <w:color w:val="000000" w:themeColor="text1"/>
                              </w:rPr>
                              <w:t>本项目</w:t>
                            </w:r>
                          </w:p>
                        </w:txbxContent>
                      </v:textbox>
                    </v:shape>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3948430</wp:posOffset>
                      </wp:positionH>
                      <wp:positionV relativeFrom="paragraph">
                        <wp:posOffset>1869440</wp:posOffset>
                      </wp:positionV>
                      <wp:extent cx="1252855" cy="1150620"/>
                      <wp:effectExtent l="9525" t="8255" r="13970" b="22225"/>
                      <wp:wrapNone/>
                      <wp:docPr id="7" name="自选图形 33"/>
                      <wp:cNvGraphicFramePr/>
                      <a:graphic xmlns:a="http://schemas.openxmlformats.org/drawingml/2006/main">
                        <a:graphicData uri="http://schemas.microsoft.com/office/word/2010/wordprocessingShape">
                          <wps:wsp>
                            <wps:cNvSpPr/>
                            <wps:spPr>
                              <a:xfrm>
                                <a:off x="0" y="0"/>
                                <a:ext cx="1252855" cy="1150620"/>
                              </a:xfrm>
                              <a:custGeom>
                                <a:avLst/>
                                <a:gdLst>
                                  <a:gd name="A1" fmla="val 0"/>
                                </a:gdLst>
                                <a:ahLst/>
                                <a:cxnLst>
                                  <a:cxn ang="0">
                                    <a:pos x="762000" y="0"/>
                                  </a:cxn>
                                  <a:cxn ang="0">
                                    <a:pos x="1252855" y="396240"/>
                                  </a:cxn>
                                  <a:cxn ang="0">
                                    <a:pos x="497840" y="1150620"/>
                                  </a:cxn>
                                  <a:cxn ang="0">
                                    <a:pos x="0" y="725805"/>
                                  </a:cxn>
                                  <a:cxn ang="0">
                                    <a:pos x="762000" y="0"/>
                                  </a:cxn>
                                </a:cxnLst>
                                <a:pathLst>
                                  <a:path w="1252855" h="1150620">
                                    <a:moveTo>
                                      <a:pt x="762000" y="0"/>
                                    </a:moveTo>
                                    <a:lnTo>
                                      <a:pt x="1252855" y="396240"/>
                                    </a:lnTo>
                                    <a:lnTo>
                                      <a:pt x="497840" y="1150620"/>
                                    </a:lnTo>
                                    <a:lnTo>
                                      <a:pt x="0" y="725805"/>
                                    </a:lnTo>
                                    <a:lnTo>
                                      <a:pt x="762000" y="0"/>
                                    </a:lnTo>
                                    <a:close/>
                                  </a:path>
                                </a:pathLst>
                              </a:custGeom>
                              <a:noFill/>
                              <a:ln w="12700" cap="flat" cmpd="sng">
                                <a:solidFill>
                                  <a:schemeClr val="tx1"/>
                                </a:solidFill>
                                <a:prstDash val="solid"/>
                                <a:miter/>
                                <a:headEnd type="none" w="med" len="med"/>
                                <a:tailEnd type="none" w="med" len="med"/>
                              </a:ln>
                            </wps:spPr>
                            <wps:bodyPr upright="1"/>
                          </wps:wsp>
                        </a:graphicData>
                      </a:graphic>
                    </wp:anchor>
                  </w:drawing>
                </mc:Choice>
                <mc:Fallback>
                  <w:pict>
                    <v:shape id="自选图形 33" o:spid="_x0000_s1026" o:spt="100" style="position:absolute;left:0pt;margin-left:310.9pt;margin-top:147.2pt;height:90.6pt;width:98.65pt;z-index:251719680;mso-width-relative:page;mso-height-relative:page;" filled="f" stroked="t" coordsize="1252855,1150620" o:gfxdata="UEsDBAoAAAAAAIdO4kAAAAAAAAAAAAAAAAAEAAAAZHJzL1BLAwQUAAAACACHTuJAPT2f69oAAAAL&#10;AQAADwAAAGRycy9kb3ducmV2LnhtbE2PwU7DMBBE70j8g7VI3KjjKIQ0xOkBCYkDCLXQ+zZekqjx&#10;OsROWvh6zAmOoxnNvKk2ZzuIhSbfO9agVgkI4saZnlsN72+PNwUIH5ANDo5Jwxd52NSXFxWWxp14&#10;S8sutCKWsC9RQxfCWErpm44s+pUbiaP34SaLIcqplWbCUyy3g0yTJJcWe44LHY700FFz3M1WQ5jT&#10;/at82S/H4ln283d42uKn0/r6SiX3IAKdw18YfvEjOtSR6eBmNl4MGvJURfSgIV1nGYiYKNRagTho&#10;yO5uc5B1Jf9/qH8AUEsDBBQAAAAIAIdO4kDbBGGq/QIAABIIAAAOAAAAZHJzL2Uyb0RvYy54bWyt&#10;VctuEzEU3SPxD5aXSHQeySRp1EkXVGWDAKlFgqXj8WRG8tiW7Sbpnj17loifQBV8DUV8Btf2TGNa&#10;RFpEFmM7vuc+zn346HjbcbRm2rRSlDg7SDFigsqqFasSvzk/fTrDyFgiKsKlYCW+ZAYfLx4/Otqo&#10;OctlI3nFNAIlwsw3qsSNtWqeJIY2rCPmQCom4LKWuiMWjnqVVJpsQHvHkzxNJ8lG6kppSZkx8O9J&#10;uMQLr7+uGbWv6towi3iJwTfrv9p/l+6bLI7IfKWJalrau0H+wYuOtAKM3qg6IZagC93eUdW1VEsj&#10;a3tAZZfIum4p8zFANFl6K5qzhijmYwFyjLqhyfw/tfTl+rVGbVXi0RgjQTrI0ferqx/vP1x//vjz&#10;25frr58Q3ABNG2XmIH2mXuv+ZGDrYt7WunMrRIO2JR5PJrMiB7IvQekomxVZTzPbWkRBIMuLfFYU&#10;GFGQyLIinYA06Ex2quiFsc+Z9GrJ+oWxIU8V7DzLVe8qlUK0xrK3YK7uOKTuSYKmoC9N0QYNhnpw&#10;hDGtZe9iTIoaFLkCibxjIotM9Jr324hBo8NJPr6HoTwyND6czgCzN5YY08exP6JRZOgeNmLxaV7M&#10;0mK/CSiqB+clxtyiC0pkNRQBaYa6oFvRFwbsEHGjJ/XdqKRxFRlXCZScO/YFEKoOUK6q9oAhlTE4&#10;60v2fmDITwzOHwQG4mPw6EFgYDMG+14GGr3bYe250zAs3ZjkfkxajGBMaoxgTC6dQTJXxDrKhy3a&#10;RK3c7DrZ3Xdyzc6ll7QuA6ElvSdDq+9EuIhFh6Z1XoeO6cMdxIZVec2hQbzmqH8hsEFsWIN4GEuh&#10;ev+q9w8eD5ool4aFynGU+MF1w42jNBpeQp62nHv6uAiMTVNwghJ47GpOgGbaKRi/RqwwInwFryi1&#10;2levkbytHNzxaPRq+YxrtCbuJfO/3v/fxJQ29oSYJsj5q5C8DiaeRrztSjyL0RxKP3GzPUxzt1vK&#10;6tIPef8/PDw+wv6RdC9bfPbo3VO++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9PZ/r2gAAAAsB&#10;AAAPAAAAAAAAAAEAIAAAACIAAABkcnMvZG93bnJldi54bWxQSwECFAAUAAAACACHTuJA2wRhqv0C&#10;AAASCAAADgAAAAAAAAABACAAAAApAQAAZHJzL2Uyb0RvYy54bWxQSwUGAAAAAAYABgBZAQAAmAYA&#10;AAAA&#10;" path="m762000,0l1252855,396240,497840,1150620,0,725805,762000,0xe">
                      <v:path o:connecttype="segments" o:connectlocs="762000,0;1252855,396240;497840,1150620;0,725805;762000,0" o:connectangles="0,0,0,0,0"/>
                      <v:fill on="f" focussize="0,0"/>
                      <v:stroke weight="1pt" color="#000000 [3213]" joinstyle="miter"/>
                      <v:imagedata o:title=""/>
                      <o:lock v:ext="edit" aspectratio="f"/>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3816350</wp:posOffset>
                      </wp:positionH>
                      <wp:positionV relativeFrom="paragraph">
                        <wp:posOffset>1459230</wp:posOffset>
                      </wp:positionV>
                      <wp:extent cx="842645" cy="740410"/>
                      <wp:effectExtent l="9525" t="8890" r="24130" b="12700"/>
                      <wp:wrapNone/>
                      <wp:docPr id="2" name="自选图形 32"/>
                      <wp:cNvGraphicFramePr/>
                      <a:graphic xmlns:a="http://schemas.openxmlformats.org/drawingml/2006/main">
                        <a:graphicData uri="http://schemas.microsoft.com/office/word/2010/wordprocessingShape">
                          <wps:wsp>
                            <wps:cNvSpPr/>
                            <wps:spPr>
                              <a:xfrm>
                                <a:off x="0" y="0"/>
                                <a:ext cx="842645" cy="740410"/>
                              </a:xfrm>
                              <a:custGeom>
                                <a:avLst/>
                                <a:gdLst>
                                  <a:gd name="A1" fmla="val 0"/>
                                </a:gdLst>
                                <a:ahLst/>
                                <a:cxnLst>
                                  <a:cxn ang="0">
                                    <a:pos x="842645" y="403225"/>
                                  </a:cxn>
                                  <a:cxn ang="0">
                                    <a:pos x="395605" y="0"/>
                                  </a:cxn>
                                  <a:cxn ang="0">
                                    <a:pos x="0" y="425450"/>
                                  </a:cxn>
                                  <a:cxn ang="0">
                                    <a:pos x="468630" y="740410"/>
                                  </a:cxn>
                                  <a:cxn ang="0">
                                    <a:pos x="842645" y="403225"/>
                                  </a:cxn>
                                </a:cxnLst>
                                <a:pathLst>
                                  <a:path w="842645" h="740410">
                                    <a:moveTo>
                                      <a:pt x="842645" y="403225"/>
                                    </a:moveTo>
                                    <a:lnTo>
                                      <a:pt x="395605" y="0"/>
                                    </a:lnTo>
                                    <a:lnTo>
                                      <a:pt x="0" y="425450"/>
                                    </a:lnTo>
                                    <a:lnTo>
                                      <a:pt x="468630" y="740410"/>
                                    </a:lnTo>
                                    <a:lnTo>
                                      <a:pt x="842645" y="403225"/>
                                    </a:lnTo>
                                    <a:close/>
                                  </a:path>
                                </a:pathLst>
                              </a:custGeom>
                              <a:solidFill>
                                <a:srgbClr val="C00000"/>
                              </a:solidFill>
                              <a:ln w="12700" cap="flat" cmpd="sng">
                                <a:solidFill>
                                  <a:schemeClr val="tx1"/>
                                </a:solidFill>
                                <a:prstDash val="solid"/>
                                <a:miter/>
                                <a:headEnd type="none" w="med" len="med"/>
                                <a:tailEnd type="none" w="med" len="med"/>
                              </a:ln>
                            </wps:spPr>
                            <wps:bodyPr upright="1"/>
                          </wps:wsp>
                        </a:graphicData>
                      </a:graphic>
                    </wp:anchor>
                  </w:drawing>
                </mc:Choice>
                <mc:Fallback>
                  <w:pict>
                    <v:shape id="自选图形 32" o:spid="_x0000_s1026" o:spt="100" style="position:absolute;left:0pt;margin-left:300.5pt;margin-top:114.9pt;height:58.3pt;width:66.35pt;z-index:251718656;mso-width-relative:page;mso-height-relative:page;" fillcolor="#C00000" filled="t" stroked="t" coordsize="842645,740410" o:gfxdata="UEsDBAoAAAAAAIdO4kAAAAAAAAAAAAAAAAAEAAAAZHJzL1BLAwQUAAAACACHTuJAWjlomNsAAAAL&#10;AQAADwAAAGRycy9kb3ducmV2LnhtbE2Py07DMBBF90j9B2uQ2FE7D6UlZFJVFbDoAkHohp0bD0lo&#10;bAfbffD3mBUsR3N17znV6qJHdiLnB2sQkrkARqa1ajAdwu7t8XYJzAdplBytIYRv8rCqZ1eVLJU9&#10;m1c6NaFjscT4UiL0IUwl577tSUs/txOZ+PuwTssQT9dx5eQ5luuRp0IUXMvBxIVeTrTpqT00R42w&#10;DLT+avIHsXvebl+e1Lv79NIh3lwn4h5YoEv4C8MvfkSHOjLt7dEoz0aEQiTRJSCk6V10iIlFli2A&#10;7RGyvMiB1xX/71D/AFBLAwQUAAAACACHTuJAbza59gkDAAAzCAAADgAAAGRycy9lMm9Eb2MueG1s&#10;rVVPb9MwFL8j8R0sH5FY0iTtumrpDpvGBQHShgRH13GaSI5t2V7b3blz54j4EmiCT8MQH4NnO2k9&#10;GOpA9BDb9fv7+733fHyy6ThaMW1aKUo8OkgxYoLKqhXLEr++PH86xchYIirCpWAlvmYGn8wfPzpe&#10;qxnLZCN5xTQCI8LM1qrEjbVqliSGNqwj5kAqJuCylrojFo56mVSarMF6x5MsTSfJWupKaUmZMfDv&#10;WbjEc2+/rhm1L+vaMIt4iSE267/afxfum8yPyWypiWpa2odB/iGKjrQCnG5NnRFL0JVufzPVtVRL&#10;I2t7QGWXyLpuKfM5QDaj9JdsLhqimM8FwDFqC5P5f2bpi9UrjdqqxHmGkSAdcPTt5ub7u/e3nz78&#10;+Pr59stHBDcA01qZGUhfqFe6PxnYupw3te7cCtmgTYmLcT4pCgD7usTZUTrN0x5mtrGIgsC0yCbF&#10;GCMKAodFWoz8fbIzRK+MfcakN0pWz40NLFWw8xhXfaBUCtEay96As7rjQNyTBAXraN1veoZjFdNa&#10;9jZWKdI8y8aoQbtogMlYxXsZRV7yo/EkHe/1Equkex0AA9s00r22Y+kiGxfj/Q7yyEExmU7y/V5i&#10;lQDP3jSKyMsD2YhV7mEDamM5sE+aoSDoRvQVATtE3MRJfRMqaVwhxuUBpeaOPfVQT2AStFw57VEG&#10;CmPlkSuoBysDR7Gyb6QHKwP0sXL+V54B0Vi5iJVDBD12Gmakm47cT0eLEUxHjRFMx0XoHUWsg9xB&#10;5bZovevgZtvA7raTK3YpvZx1+A99DnEETvsYdnJcxPKhp3zcw0QYBIZVecNhtoSa720OAsMaBEON&#10;e4u71obsB6lhDdJ/ineQolwaFth3QPgy2ILjMI3GlpG8rc5bzh0cRi8Xp1yjFQGcT1P368O+I8aF&#10;w3aUHcI1ogRew5oTIIR2CuazEUuMCF/CM0ut9nV+R/uOE+/jXidKG3tGTBOC8RYCzR1MRY142wFx&#10;cYgcmiRxwz+Me7dbyOravwL+f3iZPBT9K+qevvjstXdv/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WjlomNsAAAALAQAADwAAAAAAAAABACAAAAAiAAAAZHJzL2Rvd25yZXYueG1sUEsBAhQAFAAA&#10;AAgAh07iQG82ufYJAwAAMwgAAA4AAAAAAAAAAQAgAAAAKgEAAGRycy9lMm9Eb2MueG1sUEsFBgAA&#10;AAAGAAYAWQEAAKUGAAAAAA==&#10;" path="m842645,403225l395605,0,0,425450,468630,740410,842645,403225xe">
                      <v:path o:connecttype="segments" o:connectlocs="842645,403225;395605,0;0,425450;468630,740410;842645,403225" o:connectangles="0,0,0,0,0"/>
                      <v:fill on="t" focussize="0,0"/>
                      <v:stroke weight="1pt" color="#000000 [3213]" joinstyle="miter"/>
                      <v:imagedata o:title=""/>
                      <o:lock v:ext="edit" aspectratio="f"/>
                    </v:shape>
                  </w:pict>
                </mc:Fallback>
              </mc:AlternateContent>
            </w:r>
            <w:r>
              <w:rPr>
                <w:rFonts w:ascii="宋体" w:hAnsi="宋体"/>
                <w:bCs/>
                <w:color w:val="FF0000"/>
                <w:sz w:val="24"/>
              </w:rPr>
              <mc:AlternateContent>
                <mc:Choice Requires="wps">
                  <w:drawing>
                    <wp:anchor distT="0" distB="0" distL="114300" distR="114300" simplePos="0" relativeHeight="251777024" behindDoc="0" locked="0" layoutInCell="1" allowOverlap="1">
                      <wp:simplePos x="0" y="0"/>
                      <wp:positionH relativeFrom="column">
                        <wp:posOffset>770255</wp:posOffset>
                      </wp:positionH>
                      <wp:positionV relativeFrom="paragraph">
                        <wp:posOffset>3612515</wp:posOffset>
                      </wp:positionV>
                      <wp:extent cx="734060" cy="266700"/>
                      <wp:effectExtent l="4445" t="4445" r="23495" b="14605"/>
                      <wp:wrapNone/>
                      <wp:docPr id="36" name="文本框 36"/>
                      <wp:cNvGraphicFramePr/>
                      <a:graphic xmlns:a="http://schemas.openxmlformats.org/drawingml/2006/main">
                        <a:graphicData uri="http://schemas.microsoft.com/office/word/2010/wordprocessingShape">
                          <wps:wsp>
                            <wps:cNvSpPr txBox="1"/>
                            <wps:spPr>
                              <a:xfrm>
                                <a:off x="0" y="0"/>
                                <a:ext cx="73406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焊接烟尘</w:t>
                                  </w:r>
                                </w:p>
                              </w:txbxContent>
                            </wps:txbx>
                            <wps:bodyPr upright="1"/>
                          </wps:wsp>
                        </a:graphicData>
                      </a:graphic>
                    </wp:anchor>
                  </w:drawing>
                </mc:Choice>
                <mc:Fallback>
                  <w:pict>
                    <v:shape id="_x0000_s1026" o:spid="_x0000_s1026" o:spt="202" type="#_x0000_t202" style="position:absolute;left:0pt;margin-left:60.65pt;margin-top:284.45pt;height:21pt;width:57.8pt;z-index:251777024;mso-width-relative:page;mso-height-relative:page;" fillcolor="#FFFFFF" filled="t" stroked="t" coordsize="21600,21600" o:gfxdata="UEsDBAoAAAAAAIdO4kAAAAAAAAAAAAAAAAAEAAAAZHJzL1BLAwQUAAAACACHTuJAFCj1A9kAAAAL&#10;AQAADwAAAGRycy9kb3ducmV2LnhtbE2PwU7DMAyG70i8Q2QkLoglbSG0pekOSCC4wUBwzZqsrWic&#10;kmTdeHvMCW7+5U+/Pzfro5vYYkMcPSrIVgKYxc6bEXsFb6/3lyWwmDQaPXm0Cr5thHV7etLo2vgD&#10;vthlk3pGJRhrrWBIaa45j91gnY4rP1uk3c4HpxPF0HMT9IHK3cRzISR3ekS6MOjZ3g22+9zsnYLy&#10;6nH5iE/F83snd1OVLm6Wh6+g1PlZJm6BJXtMfzD86pM6tOS09Xs0kU2U86wgVMG1LCtgROSFpGGr&#10;QGaiAt42/P8P7Q9QSwMEFAAAAAgAh07iQEbx75X4AQAA9wMAAA4AAABkcnMvZTJvRG9jLnhtbK1T&#10;S44TMRDdI3EHy3vSPRmmB1rpjAQhbBAgDRyg4k+3Jf9ke9KdC8ANWLFhz7lyDspOJmSABUL0wl2u&#10;Kj+/euVa3ExGk60IUTnb0YtZTYmwzHFl+45+/LB+8oySmMBy0M6Kju5EpDfLx48Wo2/F3A1OcxEI&#10;gtjYjr6jQ0q+rarIBmEgzpwXFoPSBQMJt6GveIAR0Y2u5nXdVKML3AfHRIzoXR2CdFnwpRQsvZMy&#10;ikR0R5FbKmso6yav1XIBbR/AD4odacA/sDCgLF56glpBAnIX1G9QRrHgopNpxpypnJSKiVIDVnNR&#10;/1LN7QBelFpQnOhPMsX/B8vebt8HonhHLxtKLBjs0f7L5/3X7/tvnwj6UKDRxxbzbj1mpumFm7DR&#10;9/6Izlz3JIPJf6yIYByl3p3kFVMiDJ3Xl0/rBiMMQ/Omua6L/NXPwz7E9Fo4Q7LR0YDdK6LC9k1M&#10;SART71PyXdFpxddK67IJ/ealDmQL2Ol1+TJHPPIgTVsydvT51fwKeQA+OKkhoWk8ShBtX+57cCKe&#10;A9fl+xNwJraCOBwIFIScBq1RSYRiDQL4K8tJ2nlU2eI80EzGCE6JFjg+2SqZCZT+m0ysTtt8iShP&#10;/ahS7tehL9lK02ZC0GxuHN9hD+98UP2AApcuVjmCr6todZyE/HzP92ifz+v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Qo9QPZAAAACwEAAA8AAAAAAAAAAQAgAAAAIgAAAGRycy9kb3ducmV2Lnht&#10;bFBLAQIUABQAAAAIAIdO4kBG8e+V+AEAAPcDAAAOAAAAAAAAAAEAIAAAACgBAABkcnMvZTJvRG9j&#10;LnhtbFBLBQYAAAAABgAGAFkBAACSBQAAAAA=&#10;">
                      <v:fill on="t" focussize="0,0"/>
                      <v:stroke color="#000000" joinstyle="miter"/>
                      <v:imagedata o:title=""/>
                      <o:lock v:ext="edit" aspectratio="f"/>
                      <v:textbox>
                        <w:txbxContent>
                          <w:p>
                            <w:r>
                              <w:rPr>
                                <w:rFonts w:hint="eastAsia"/>
                              </w:rPr>
                              <w:t>焊接烟尘</w:t>
                            </w:r>
                          </w:p>
                        </w:txbxContent>
                      </v:textbox>
                    </v:shape>
                  </w:pict>
                </mc:Fallback>
              </mc:AlternateContent>
            </w:r>
            <w:r>
              <w:rPr>
                <w:rFonts w:hint="eastAsia"/>
                <w:b/>
                <w:color w:val="FF0000"/>
                <w:sz w:val="28"/>
                <w:szCs w:val="28"/>
              </w:rPr>
              <w:drawing>
                <wp:inline distT="0" distB="0" distL="114300" distR="114300">
                  <wp:extent cx="7854315" cy="4298950"/>
                  <wp:effectExtent l="0" t="0" r="13335" b="6350"/>
                  <wp:docPr id="29" name="图片 29" descr="pt2018_10_25_09_1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t2018_10_25_09_13_20"/>
                          <pic:cNvPicPr>
                            <a:picLocks noChangeAspect="1"/>
                          </pic:cNvPicPr>
                        </pic:nvPicPr>
                        <pic:blipFill>
                          <a:blip r:embed="rId35" cstate="print"/>
                          <a:stretch>
                            <a:fillRect/>
                          </a:stretch>
                        </pic:blipFill>
                        <pic:spPr>
                          <a:xfrm>
                            <a:off x="0" y="0"/>
                            <a:ext cx="7854315" cy="4298950"/>
                          </a:xfrm>
                          <a:prstGeom prst="rect">
                            <a:avLst/>
                          </a:prstGeom>
                        </pic:spPr>
                      </pic:pic>
                    </a:graphicData>
                  </a:graphic>
                </wp:inline>
              </w:drawing>
            </w:r>
          </w:p>
          <w:p>
            <w:pPr>
              <w:jc w:val="center"/>
              <w:rPr>
                <w:b/>
                <w:color w:val="FF0000"/>
                <w:sz w:val="28"/>
                <w:szCs w:val="28"/>
              </w:rPr>
            </w:pPr>
          </w:p>
          <w:p>
            <w:pPr>
              <w:jc w:val="center"/>
              <w:rPr>
                <w:rFonts w:ascii="黑体" w:eastAsia="黑体"/>
                <w:color w:val="000000" w:themeColor="text1"/>
                <w:sz w:val="24"/>
              </w:rPr>
            </w:pPr>
            <w:r>
              <w:rPr>
                <w:rFonts w:hint="eastAsia" w:ascii="黑体" w:eastAsia="黑体"/>
                <w:color w:val="000000" w:themeColor="text1"/>
                <w:sz w:val="24"/>
              </w:rPr>
              <w:t>图2-2 项目周边情况图</w:t>
            </w:r>
          </w:p>
          <w:p>
            <w:pPr>
              <w:rPr>
                <w:b/>
                <w:color w:val="FF0000"/>
                <w:sz w:val="28"/>
                <w:szCs w:val="28"/>
              </w:rPr>
            </w:pPr>
          </w:p>
        </w:tc>
      </w:tr>
    </w:tbl>
    <w:p>
      <w:pPr>
        <w:spacing w:line="336" w:lineRule="auto"/>
        <w:jc w:val="left"/>
        <w:rPr>
          <w:rFonts w:ascii="宋体" w:hAnsi="宋体"/>
          <w:color w:val="FF0000"/>
          <w:sz w:val="24"/>
          <w:szCs w:val="22"/>
        </w:rPr>
        <w:sectPr>
          <w:pgSz w:w="16838" w:h="11906" w:orient="landscape"/>
          <w:pgMar w:top="1588" w:right="1440" w:bottom="1588" w:left="1134" w:header="851" w:footer="992" w:gutter="0"/>
          <w:cols w:space="720" w:num="1"/>
          <w:docGrid w:linePitch="312" w:charSpace="0"/>
        </w:sectPr>
      </w:pPr>
    </w:p>
    <w:p>
      <w:pPr>
        <w:rPr>
          <w:b/>
          <w:color w:val="000000" w:themeColor="text1"/>
          <w:sz w:val="28"/>
          <w:szCs w:val="28"/>
        </w:rPr>
      </w:pPr>
      <w:bookmarkStart w:id="36" w:name="_Toc30789_WPSOffice_Level1"/>
      <w:r>
        <w:rPr>
          <w:rFonts w:hint="eastAsia"/>
          <w:b/>
          <w:color w:val="000000" w:themeColor="text1"/>
          <w:sz w:val="28"/>
          <w:szCs w:val="28"/>
        </w:rPr>
        <w:t>续表二</w:t>
      </w:r>
      <w:bookmarkEnd w:id="36"/>
    </w:p>
    <w:tbl>
      <w:tblPr>
        <w:tblStyle w:val="13"/>
        <w:tblW w:w="14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6" w:hRule="atLeast"/>
        </w:trPr>
        <w:tc>
          <w:tcPr>
            <w:tcW w:w="14480" w:type="dxa"/>
          </w:tcPr>
          <w:p>
            <w:pPr>
              <w:rPr>
                <w:b/>
                <w:color w:val="FF0000"/>
                <w:sz w:val="28"/>
                <w:szCs w:val="28"/>
              </w:rPr>
            </w:pPr>
          </w:p>
          <w:p>
            <w:pPr>
              <w:jc w:val="center"/>
              <w:rPr>
                <w:b/>
                <w:color w:val="FF0000"/>
                <w:sz w:val="28"/>
                <w:szCs w:val="28"/>
              </w:rPr>
            </w:pPr>
            <w:r>
              <mc:AlternateContent>
                <mc:Choice Requires="wps">
                  <w:drawing>
                    <wp:anchor distT="0" distB="0" distL="114300" distR="114300" simplePos="0" relativeHeight="252488704" behindDoc="0" locked="0" layoutInCell="1" allowOverlap="1">
                      <wp:simplePos x="0" y="0"/>
                      <wp:positionH relativeFrom="column">
                        <wp:posOffset>6247130</wp:posOffset>
                      </wp:positionH>
                      <wp:positionV relativeFrom="paragraph">
                        <wp:posOffset>2627630</wp:posOffset>
                      </wp:positionV>
                      <wp:extent cx="354330" cy="292735"/>
                      <wp:effectExtent l="0" t="0" r="0" b="0"/>
                      <wp:wrapNone/>
                      <wp:docPr id="11" name="文本框 7"/>
                      <wp:cNvGraphicFramePr/>
                      <a:graphic xmlns:a="http://schemas.openxmlformats.org/drawingml/2006/main">
                        <a:graphicData uri="http://schemas.microsoft.com/office/word/2010/wordprocessingShape">
                          <wps:wsp>
                            <wps:cNvSpPr txBox="1">
                              <a:spLocks noChangeArrowheads="1"/>
                            </wps:cNvSpPr>
                            <wps:spPr bwMode="auto">
                              <a:xfrm>
                                <a:off x="0" y="0"/>
                                <a:ext cx="354330" cy="292735"/>
                              </a:xfrm>
                              <a:prstGeom prst="rect">
                                <a:avLst/>
                              </a:prstGeom>
                              <a:noFill/>
                              <a:ln>
                                <a:noFill/>
                              </a:ln>
                              <a:effectLst/>
                            </wps:spPr>
                            <wps:txbx>
                              <w:txbxContent>
                                <w:p>
                                  <w:pPr>
                                    <w:rPr>
                                      <w:sz w:val="24"/>
                                    </w:rPr>
                                  </w:pPr>
                                  <w:r>
                                    <w:rPr>
                                      <w:rFonts w:hint="eastAsia" w:ascii="宋体" w:hAnsi="宋体" w:cs="宋体"/>
                                      <w:szCs w:val="21"/>
                                    </w:rPr>
                                    <w:t>Q1</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491.9pt;margin-top:206.9pt;height:23.05pt;width:27.9pt;z-index:252488704;mso-width-relative:page;mso-height-relative:page;" filled="f" stroked="f" coordsize="21600,21600" o:gfxdata="UEsDBAoAAAAAAIdO4kAAAAAAAAAAAAAAAAAEAAAAZHJzL1BLAwQUAAAACACHTuJA3+Kq99gAAAAM&#10;AQAADwAAAGRycy9kb3ducmV2LnhtbE2PzU7DMBCE70i8g7VI3Kgd+qM6xOkBxBVEC0jctvE2iYjX&#10;Uew24e1xTnDbnR3NfFvsJteJCw2h9WwgWygQxJW3LdcG3g/Pd1sQISJb7DyTgR8KsCuvrwrMrR/5&#10;jS77WIsUwiFHA02MfS5lqBpyGBa+J063kx8cxrQOtbQDjincdfJeqY102HJqaLCnx4aq7/3ZGfh4&#10;OX19rtRr/eTW/egnJdlpacztTaYeQESa4p8ZZvyEDmViOvoz2yA6A3q7TOjRwCqbh9mhlnoD4pik&#10;tdYgy0L+f6L8BVBLAwQUAAAACACHTuJAsbG2kAACAADVAwAADgAAAGRycy9lMm9Eb2MueG1srVPN&#10;jtMwEL4j8Q6W7zRt2lI2arpadrUIafmRFh7AcZzGIvGYsdukPAC8AScu3HmuPgdjJ1sK3BAXy/Pj&#10;b+abb7y+7NuG7RU6DSbns8mUM2UklNpsc/7+3e2TZ5w5L0wpGjAq5wfl+OXm8aN1ZzOVQg1NqZAR&#10;iHFZZ3Nee2+zJHGyVq1wE7DKULACbIUnE7dJiaIj9LZJ0un0adIBlhZBKufIezME+SbiV5WS/k1V&#10;OeVZk3PqzccT41mEM9msRbZFYWstxzbEP3TRCm2o6AnqRnjBdqj/gmq1RHBQ+YmENoGq0lJFDsRm&#10;Nv2DzX0trIpcaDjOnsbk/h+sfL1/i0yXpN2MMyNa0uj49cvx24/j989sFebTWZdR2r2lRN8/h55y&#10;I1dn70B+cMzAdS3MVl0hQlcrUVJ/s/AyOXs64LgAUnSvoKQ6YuchAvUVtmF4NA5G6KTT4aSN6j2T&#10;5JwvF/M5RSSF0ot0NV/GCiJ7eGzR+RcKWhYuOUeSPoKL/Z3zoRmRPaSEWgZuddNE+Rvzm4MSB4+K&#10;+zO+DlRC9wMP3xf9OJoCygORQhh2i/4CXWrAT5x1tFc5dx93AhVnzUtDg7mYLRZhEaOxWK5SMvA8&#10;UpxHhJEElXPP2XC99sPy7izqbU2VBikMXNEwKx2JhlaHrkYJaHci/3HPw3Ke2zHr12/c/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4qr32AAAAAwBAAAPAAAAAAAAAAEAIAAAACIAAABkcnMvZG93&#10;bnJldi54bWxQSwECFAAUAAAACACHTuJAsbG2kAACAADVAwAADgAAAAAAAAABACAAAAAnAQAAZHJz&#10;L2Uyb0RvYy54bWxQSwUGAAAAAAYABgBZAQAAmQUAAAAA&#10;">
                      <v:fill on="f" focussize="0,0"/>
                      <v:stroke on="f"/>
                      <v:imagedata o:title=""/>
                      <o:lock v:ext="edit" aspectratio="f"/>
                      <v:textbox>
                        <w:txbxContent>
                          <w:p>
                            <w:pPr>
                              <w:rPr>
                                <w:sz w:val="24"/>
                              </w:rPr>
                            </w:pPr>
                            <w:r>
                              <w:rPr>
                                <w:rFonts w:hint="eastAsia" w:ascii="宋体" w:hAnsi="宋体" w:cs="宋体"/>
                                <w:szCs w:val="21"/>
                              </w:rPr>
                              <w:t>Q1</w:t>
                            </w:r>
                          </w:p>
                        </w:txbxContent>
                      </v:textbox>
                    </v:shape>
                  </w:pict>
                </mc:Fallback>
              </mc:AlternateContent>
            </w:r>
            <w:r>
              <mc:AlternateContent>
                <mc:Choice Requires="wps">
                  <w:drawing>
                    <wp:anchor distT="0" distB="0" distL="114300" distR="114300" simplePos="0" relativeHeight="252428288" behindDoc="0" locked="0" layoutInCell="1" allowOverlap="1">
                      <wp:simplePos x="0" y="0"/>
                      <wp:positionH relativeFrom="column">
                        <wp:posOffset>6208395</wp:posOffset>
                      </wp:positionH>
                      <wp:positionV relativeFrom="paragraph">
                        <wp:posOffset>2473960</wp:posOffset>
                      </wp:positionV>
                      <wp:extent cx="116205" cy="130175"/>
                      <wp:effectExtent l="5080" t="5080" r="12065" b="17145"/>
                      <wp:wrapNone/>
                      <wp:docPr id="8" name="同心圆 2"/>
                      <wp:cNvGraphicFramePr/>
                      <a:graphic xmlns:a="http://schemas.openxmlformats.org/drawingml/2006/main">
                        <a:graphicData uri="http://schemas.microsoft.com/office/word/2010/wordprocessingShape">
                          <wps:wsp>
                            <wps:cNvSpPr/>
                            <wps:spPr>
                              <a:xfrm>
                                <a:off x="0" y="0"/>
                                <a:ext cx="116205" cy="130175"/>
                              </a:xfrm>
                              <a:prstGeom prst="donut">
                                <a:avLst/>
                              </a:prstGeom>
                              <a:noFill/>
                              <a:ln w="31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同心圆 2" o:spid="_x0000_s1026" o:spt="23" type="#_x0000_t23" style="position:absolute;left:0pt;margin-left:488.85pt;margin-top:194.8pt;height:10.25pt;width:9.15pt;z-index:252428288;v-text-anchor:middle;mso-width-relative:page;mso-height-relative:page;" filled="f" stroked="t" coordsize="21600,21600" o:gfxdata="UEsDBAoAAAAAAIdO4kAAAAAAAAAAAAAAAAAEAAAAZHJzL1BLAwQUAAAACACHTuJA/3ijJtsAAAAL&#10;AQAADwAAAGRycy9kb3ducmV2LnhtbE2PwU7DMBBE70j8g7VI3KidAkmTxqlUKigHJNQU7m7sxhHx&#10;Oordpvw9ywmOq32aeVOuLq5nZzOGzqOEZCaAGWy87rCV8LF/vlsAC1GhVr1HI+HbBFhV11elKrSf&#10;cGfOdWwZhWAolAQb41BwHhprnAozPxik39GPTkU6x5brUU0U7no+FyLlTnVIDVYN5sma5qs+OQnv&#10;k32db/af3W67rjdr97h9eyE9eXuTiCWwaC7xD4ZffVKHipwO/oQ6sF5CnmUZoRLuF3kKjIg8T2nd&#10;QcJDIhLgVcn/b6h+AFBLAwQUAAAACACHTuJA4PORElYCAACNBAAADgAAAGRycy9lMm9Eb2MueG1s&#10;rVTNbhMxEL4j8Q6W73Sz6R+suqmiVkVIFa0UEOeJ15u1ZHuM7WQTrkicOPAAvAtPk/dg7N224eeE&#10;yMGZ8Xye8Xz+Zi8ut0azjfRBoa15eTThTFqBjbKrmr9/d/PiJWchgm1Ao5U138nAL2fPn130rpJT&#10;7FA30jNKYkPVu5p3MbqqKILopIFwhE5aCrboDURy/apoPPSU3ehiOpmcFT36xnkUMgTavR6CfJbz&#10;t60U8a5tg4xM15zuFvPq87pMazG7gGrlwXVKjNeAf7iFAWWp6GOqa4jA1l79kcoo4TFgG48EmgLb&#10;VgmZe6Buyslv3Sw6cDL3QuQE90hT+H9pxdvNvWeqqTk9lAVDT7T/9nX/4/P++xc2TfT0LlSEWrh7&#10;P3qBzNTrtvUm/VMXbJsp3T1SKreRCdosy7Pp5JQzQaHyeFKen6acxdNh50N8LdGwZNS8QbuOmUnY&#10;3IY4YB8wqZjFG6U17UOlLetrfpxyMgEknlZDJNM4aifYFWegV6RKEX3OGFCrJp1Oh4NfLa+0ZxtI&#10;ysi/8Wa/wFLpawjdgMuhBIPKqEjC1coQc4entU1RmaU3NpAYHDhL1hKbHVHucdBicOJGUZFbCPEe&#10;PImPZEoDFe9oaTVShzhanHXoP/1tP+FJExTlrCcxU/sf1+AlZ/qNJbW8Kk9Okvqzc3J6PiXHH0aW&#10;hxG7NldIrJQ0uk5kM+GjfjBbj+YDzd08VaUQWEG1B6JH5yoOQ0aTK+R8nmGkeAfx1i6cSMkTTxbn&#10;64ityg/9xA4pJDmk+ayVcT7TUB36GfX0FZn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94oybb&#10;AAAACwEAAA8AAAAAAAAAAQAgAAAAIgAAAGRycy9kb3ducmV2LnhtbFBLAQIUABQAAAAIAIdO4kDg&#10;85ESVgIAAI0EAAAOAAAAAAAAAAEAIAAAACoBAABkcnMvZTJvRG9jLnhtbFBLBQYAAAAABgAGAFkB&#10;AADyBQAAAAA=&#10;" adj="5400">
                      <v:fill on="f" focussize="0,0"/>
                      <v:stroke weight="0.25pt" color="#000000" miterlimit="8" joinstyle="miter"/>
                      <v:imagedata o:title=""/>
                      <o:lock v:ext="edit" aspectratio="f"/>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3091815</wp:posOffset>
                      </wp:positionH>
                      <wp:positionV relativeFrom="paragraph">
                        <wp:posOffset>995045</wp:posOffset>
                      </wp:positionV>
                      <wp:extent cx="482600" cy="304800"/>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482600" cy="304800"/>
                              </a:xfrm>
                              <a:prstGeom prst="rect">
                                <a:avLst/>
                              </a:prstGeom>
                              <a:noFill/>
                              <a:ln>
                                <a:noFill/>
                              </a:ln>
                              <a:effectLst/>
                            </wps:spPr>
                            <wps:txbx>
                              <w:txbxContent>
                                <w:p>
                                  <w:pPr>
                                    <w:rPr>
                                      <w:sz w:val="24"/>
                                    </w:rPr>
                                  </w:pPr>
                                  <w:r>
                                    <w:rPr>
                                      <w:rFonts w:hint="eastAsia" w:ascii="宋体" w:hAnsi="宋体" w:cs="宋体"/>
                                      <w:szCs w:val="21"/>
                                    </w:rPr>
                                    <w:t>▲Z4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45pt;margin-top:78.35pt;height:24pt;width:38pt;z-index:252394496;mso-width-relative:page;mso-height-relative:page;" filled="f" stroked="f" coordsize="21600,21600" o:gfxdata="UEsDBAoAAAAAAIdO4kAAAAAAAAAAAAAAAAAEAAAAZHJzL1BLAwQUAAAACACHTuJAXqt8OdgAAAAL&#10;AQAADwAAAGRycy9kb3ducmV2LnhtbE2PwU7DMAyG70i8Q2QkbixZ1XZb13QHEFcQGyBxyxqvrdY4&#10;VZOt5e0xJzja/6ffn8vd7HpxxTF0njQsFwoEUu1tR42G98PzwxpEiIas6T2hhm8MsKtub0pTWD/R&#10;G173sRFcQqEwGtoYh0LKULfoTFj4AYmzkx+diTyOjbSjmbjc9TJRKpfOdMQXWjPgY4v1eX9xGj5e&#10;Tl+fqXptnlw2TH5WktxGan1/t1RbEBHn+AfDrz6rQ8VOR38hG0SvIV3nG0Y5yPIVCCayPOHNUUOi&#10;0hXIqpT/f6h+AFBLAwQUAAAACACHTuJAxtcmof8BAADWAwAADgAAAGRycy9lMm9Eb2MueG1srVPN&#10;btNAEL4j8Q6rvRM7aVqCFacqrYqQCkUqPMB6vbZX2DvL7CZ2eAD6Bpy4cO9z5TmYXadpgBvisprf&#10;b+abmV2eD13LNgqdBpPz6STlTBkJpTZ1zj99vH6x4Mx5YUrRglE53yrHz1fPny17m6kZNNCWChmB&#10;GJf1NueN9zZLEicb1Qk3AasMOSvATnhSsU5KFD2hd20yS9OzpAcsLYJUzpH1anTyVcSvKiX9bVU5&#10;5Vmbc+rNxxfjW4Q3WS1FVqOwjZb7NsQ/dNEJbajoAepKeMHWqP+C6rREcFD5iYQugarSUkUOxGaa&#10;/sHmrhFWRS40HGcPY3L/D1a+33xApsucn5xyZkRHO9p9v9/9eNj9/MbIRgPqrcso7s5SpB9ew0CL&#10;jmSdvQH52TEDl40wtbpAhL5RoqQGpyEzOUodcVwAKfp3UFIhsfYQgYYKuzA9mgcjdFrU9rAcNXgm&#10;yThfzM5S8khynaTzBcmhgsgeky06/0ZBx4KQc6TdR3CxuXF+DH0MCbUMXOu2JbvIWvObgTBHi4oH&#10;tM8OVEL3Iw8/FAPlBmMB5ZZIIYzHRZ+BhAbwK2c9HVbO3Ze1QMVZ+9bQYF5N5/NwiVGZn76ckYLH&#10;nuLYI4wkqJx7zkbx0o/Xu7ao64YqjaswcEHDrHQk+tTVfgV0PHFU+0MP13msx6in77j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6rfDnYAAAACwEAAA8AAAAAAAAAAQAgAAAAIgAAAGRycy9kb3du&#10;cmV2LnhtbFBLAQIUABQAAAAIAIdO4kDG1yah/wEAANYDAAAOAAAAAAAAAAEAIAAAACcBAABkcnMv&#10;ZTJvRG9jLnhtbFBLBQYAAAAABgAGAFkBAACYBQAAAAA=&#10;">
                      <v:fill on="f" focussize="0,0"/>
                      <v:stroke on="f"/>
                      <v:imagedata o:title=""/>
                      <o:lock v:ext="edit" aspectratio="f"/>
                      <v:textbox>
                        <w:txbxContent>
                          <w:p>
                            <w:pPr>
                              <w:rPr>
                                <w:sz w:val="24"/>
                              </w:rPr>
                            </w:pPr>
                            <w:r>
                              <w:rPr>
                                <w:rFonts w:hint="eastAsia" w:ascii="宋体" w:hAnsi="宋体" w:cs="宋体"/>
                                <w:szCs w:val="21"/>
                              </w:rPr>
                              <w:t>▲Z4</w:t>
                            </w:r>
                          </w:p>
                        </w:txbxContent>
                      </v:textbox>
                    </v:shape>
                  </w:pict>
                </mc:Fallback>
              </mc:AlternateContent>
            </w:r>
            <w:r>
              <w:rPr>
                <w:rFonts w:hint="eastAsia"/>
                <w:b/>
                <w:color w:val="FF0000"/>
                <w:sz w:val="28"/>
                <w:szCs w:val="28"/>
              </w:rPr>
              <w:drawing>
                <wp:inline distT="0" distB="0" distL="114300" distR="114300">
                  <wp:extent cx="5948680" cy="4497070"/>
                  <wp:effectExtent l="0" t="0" r="13970" b="17780"/>
                  <wp:docPr id="28" name="图片 28" descr="微信图片_2019010309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0103090846"/>
                          <pic:cNvPicPr>
                            <a:picLocks noChangeAspect="1"/>
                          </pic:cNvPicPr>
                        </pic:nvPicPr>
                        <pic:blipFill>
                          <a:blip r:embed="rId36" cstate="print"/>
                          <a:stretch>
                            <a:fillRect/>
                          </a:stretch>
                        </pic:blipFill>
                        <pic:spPr>
                          <a:xfrm>
                            <a:off x="0" y="0"/>
                            <a:ext cx="5948680" cy="4497070"/>
                          </a:xfrm>
                          <a:prstGeom prst="rect">
                            <a:avLst/>
                          </a:prstGeom>
                        </pic:spPr>
                      </pic:pic>
                    </a:graphicData>
                  </a:graphic>
                </wp:inline>
              </w:drawing>
            </w:r>
            <w:r>
              <mc:AlternateContent>
                <mc:Choice Requires="wps">
                  <w:drawing>
                    <wp:anchor distT="0" distB="0" distL="114300" distR="114300" simplePos="0" relativeHeight="252148736" behindDoc="0" locked="0" layoutInCell="1" allowOverlap="1">
                      <wp:simplePos x="0" y="0"/>
                      <wp:positionH relativeFrom="column">
                        <wp:posOffset>2256155</wp:posOffset>
                      </wp:positionH>
                      <wp:positionV relativeFrom="paragraph">
                        <wp:posOffset>3171190</wp:posOffset>
                      </wp:positionV>
                      <wp:extent cx="482600" cy="30480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482600" cy="304800"/>
                              </a:xfrm>
                              <a:prstGeom prst="rect">
                                <a:avLst/>
                              </a:prstGeom>
                              <a:noFill/>
                              <a:ln>
                                <a:noFill/>
                              </a:ln>
                              <a:effectLst/>
                            </wps:spPr>
                            <wps:txbx>
                              <w:txbxContent>
                                <w:p>
                                  <w:pPr>
                                    <w:rPr>
                                      <w:sz w:val="24"/>
                                    </w:rPr>
                                  </w:pPr>
                                  <w:r>
                                    <w:rPr>
                                      <w:rFonts w:hint="eastAsia" w:ascii="宋体" w:hAnsi="宋体" w:cs="宋体"/>
                                      <w:szCs w:val="21"/>
                                    </w:rPr>
                                    <w:t>▲Z3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7.65pt;margin-top:249.7pt;height:24pt;width:38pt;z-index:252148736;mso-width-relative:page;mso-height-relative:page;" filled="f" stroked="f" coordsize="21600,21600" o:gfxdata="UEsDBAoAAAAAAIdO4kAAAAAAAAAAAAAAAAAEAAAAZHJzL1BLAwQUAAAACACHTuJAyDYsvdgAAAAL&#10;AQAADwAAAGRycy9kb3ducmV2LnhtbE2PwU7DMAyG70i8Q2QkbiwpTRktdXcAcQUxYBK3rPXaisap&#10;mmwtb084saPtT7+/v9wsdhAnmnzvGCFZKRDEtWt6bhE+3p9v7kH4YLgxg2NC+CEPm+ryojRF42Z+&#10;o9M2tCKGsC8MQhfCWEjp646s8Ss3EsfbwU3WhDhOrWwmM8dwO8hbpe6kNT3HD50Z6bGj+nt7tAif&#10;L4evnVav7ZPNxtktSrLNJeL1VaIeQARawj8Mf/pRHarotHdHbrwYENIsSyOKoPNcg4iETpO42SNk&#10;eq1BVqU871D9AlBLAwQUAAAACACHTuJALedMff4BAADWAwAADgAAAGRycy9lMm9Eb2MueG1srVPN&#10;jtMwEL4j8Q6W7zTpD0uJmq6WXS1CWmClhQdwHCexSDxm7DYpDwBvwIkL932uPgdjp9stcENcrPn9&#10;Zr6Z8ep86Fq2Veg0mJxPJylnykgotalz/vHD9bMlZ84LU4oWjMr5Tjl+vn76ZNXbTM2ggbZUyAjE&#10;uKy3OW+8t1mSONmoTrgJWGXIWQF2wpOKdVKi6Am9a5NZmp4lPWBpEaRyjqxXo5OvI35VKenfV5VT&#10;nrU5p958fDG+RXiT9UpkNQrbaHloQ/xDF53Qhooeoa6EF2yD+i+oTksEB5WfSOgSqCotVeRAbKbp&#10;H2zuGmFV5ELDcfY4Jvf/YOW77S0yXeZ8PufMiI52tP/+bf/jfv/zKyMbDai3LqO4O0uRfngFAy06&#10;knX2BuQnxwxcNsLU6gIR+kaJkhqchszkJHXEcQGk6N9CSYXExkMEGirswvRoHozQaVG743LU4Jkk&#10;42I5O0vJI8k1TxdLkkMFkT0kW3T+tYKOBSHnSLuP4GJ74/wY+hASahm41m1LdpG15jcDYY4WFQ/o&#10;kB2ohO5HHn4oBsoNxgLKHZFCGI+LPgMJDeAXzno6rJy7zxuBirP2jaHBvJwuFuESo7J4/mJGCp56&#10;ilOPMJKgcu45G8VLP17vxqKuG6o0rsLABQ2z0pHoY1eHFdDxxFEdDj1c56keox6/4/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DYsvdgAAAALAQAADwAAAAAAAAABACAAAAAiAAAAZHJzL2Rvd25y&#10;ZXYueG1sUEsBAhQAFAAAAAgAh07iQC3nTH3+AQAA1gMAAA4AAAAAAAAAAQAgAAAAJwEAAGRycy9l&#10;Mm9Eb2MueG1sUEsFBgAAAAAGAAYAWQEAAJcFAAAAAA==&#10;">
                      <v:fill on="f" focussize="0,0"/>
                      <v:stroke on="f"/>
                      <v:imagedata o:title=""/>
                      <o:lock v:ext="edit" aspectratio="f"/>
                      <v:textbox>
                        <w:txbxContent>
                          <w:p>
                            <w:pPr>
                              <w:rPr>
                                <w:sz w:val="24"/>
                              </w:rPr>
                            </w:pPr>
                            <w:r>
                              <w:rPr>
                                <w:rFonts w:hint="eastAsia" w:ascii="宋体" w:hAnsi="宋体" w:cs="宋体"/>
                                <w:szCs w:val="21"/>
                              </w:rPr>
                              <w:t>▲Z3</w:t>
                            </w:r>
                          </w:p>
                        </w:txbxContent>
                      </v:textbox>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5144135</wp:posOffset>
                      </wp:positionH>
                      <wp:positionV relativeFrom="paragraph">
                        <wp:posOffset>3538855</wp:posOffset>
                      </wp:positionV>
                      <wp:extent cx="4826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482600" cy="304800"/>
                              </a:xfrm>
                              <a:prstGeom prst="rect">
                                <a:avLst/>
                              </a:prstGeom>
                              <a:noFill/>
                              <a:ln>
                                <a:noFill/>
                              </a:ln>
                              <a:effectLst/>
                            </wps:spPr>
                            <wps:txbx>
                              <w:txbxContent>
                                <w:p>
                                  <w:pPr>
                                    <w:rPr>
                                      <w:sz w:val="24"/>
                                    </w:rPr>
                                  </w:pPr>
                                  <w:r>
                                    <w:rPr>
                                      <w:rFonts w:hint="eastAsia" w:ascii="宋体" w:hAnsi="宋体" w:cs="宋体"/>
                                      <w:szCs w:val="21"/>
                                    </w:rPr>
                                    <w:t>▲Z2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5.05pt;margin-top:278.65pt;height:24pt;width:38pt;z-index:251902976;mso-width-relative:page;mso-height-relative:page;" filled="f" stroked="f" coordsize="21600,21600" o:gfxdata="UEsDBAoAAAAAAIdO4kAAAAAAAAAAAAAAAAAEAAAAZHJzL1BLAwQUAAAACACHTuJAhI+obdgAAAAL&#10;AQAADwAAAGRycy9kb3ducmV2LnhtbE2PTU/DMAyG70j8h8hI3FhSRkspdXcAcQUxPiRuWeu1FY1T&#10;Ndla/j3mxI62H71+3nKzuEEdaQq9Z4RkZUAR177puUV4f3u6ykGFaLmxg2dC+KEAm+r8rLRF42d+&#10;peM2tkpCOBQWoYtxLLQOdUfOhpUfieW295OzUcap1c1kZwl3g742JtPO9iwfOjvSQ0f19/bgED6e&#10;91+fN+alfXTpOPvFaHZ3GvHyIjH3oCIt8R+GP31Rh0qcdv7ATVADQp6YRFCENL1dgxIizzPZ7BAy&#10;k65BV6U+7VD9AlBLAwQUAAAACACHTuJAS/VFgAACAADWAwAADgAAAGRycy9lMm9Eb2MueG1srVPN&#10;jtMwEL4j8Q6W7zRpNywlarpadrUIafmRFh7AcZzEIvGYsdukPAD7Bpy4cOe5+hyMnW4pcENcLM+P&#10;v5nvm/HqYuw7tlXoNJiCz2cpZ8pIqLRpCv7h/c2TJWfOC1OJDowq+E45frF+/Gg12FwtoIWuUsgI&#10;xLh8sAVvvbd5kjjZql64GVhlKFgD9sKTiU1SoRgIve+SRZqeJwNgZRGkco6811OQryN+XSvp39a1&#10;U551BafefDwxnmU4k/VK5A0K22p5aEP8Qxe90IaKHqGuhRdsg/ovqF5LBAe1n0noE6hrLVXkQGzm&#10;6R9s7lphVeRC4jh7lMn9P1j5ZvsOma4KfjbnzIieZrT/er//9mP//QsjHwk0WJdT3p2lTD++gJEG&#10;Hck6ewvyo2MGrlphGnWJCEOrREUNxpfJydMJxwWQcngNFRUSGw8RaKyxD+qRHozQaVC743DU6Jkk&#10;Z7ZcnKcUkRQ6S7Ml3am3ROQPjy06/1JBz8Kl4Eizj+Bie+v8lPqQEmoZuNFdF+ffmd8chDl5VFyg&#10;w+tAJXQ/8fBjOR6kKaHaESmEabnoM9ClBfzM2UCLVXD3aSNQcda9MiTM83mWhU2MRvb02YIMPI2U&#10;pxFhJEEV3HM2Xa/8tL0bi7ppqdI0CgOXJGatI9HQ6tQVCRQMWp4o1WHRw3ae2jHr13dc/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j6ht2AAAAAsBAAAPAAAAAAAAAAEAIAAAACIAAABkcnMvZG93&#10;bnJldi54bWxQSwECFAAUAAAACACHTuJAS/VFgAACAADWAwAADgAAAAAAAAABACAAAAAnAQAAZHJz&#10;L2Uyb0RvYy54bWxQSwUGAAAAAAYABgBZAQAAmQUAAAAA&#10;">
                      <v:fill on="f" focussize="0,0"/>
                      <v:stroke on="f"/>
                      <v:imagedata o:title=""/>
                      <o:lock v:ext="edit" aspectratio="f"/>
                      <v:textbox>
                        <w:txbxContent>
                          <w:p>
                            <w:pPr>
                              <w:rPr>
                                <w:sz w:val="24"/>
                              </w:rPr>
                            </w:pPr>
                            <w:r>
                              <w:rPr>
                                <w:rFonts w:hint="eastAsia" w:ascii="宋体" w:hAnsi="宋体" w:cs="宋体"/>
                                <w:szCs w:val="21"/>
                              </w:rPr>
                              <w:t>▲Z2</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5958840</wp:posOffset>
                      </wp:positionH>
                      <wp:positionV relativeFrom="paragraph">
                        <wp:posOffset>1166495</wp:posOffset>
                      </wp:positionV>
                      <wp:extent cx="482600" cy="30480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1274445" y="691515"/>
                                <a:ext cx="343535" cy="321945"/>
                              </a:xfrm>
                              <a:prstGeom prst="rect">
                                <a:avLst/>
                              </a:prstGeom>
                              <a:noFill/>
                              <a:ln>
                                <a:noFill/>
                              </a:ln>
                              <a:effectLst/>
                            </wps:spPr>
                            <wps:txbx>
                              <w:txbxContent>
                                <w:p>
                                  <w:pPr>
                                    <w:rPr>
                                      <w:sz w:val="24"/>
                                    </w:rPr>
                                  </w:pPr>
                                  <w:r>
                                    <w:rPr>
                                      <w:rFonts w:hint="eastAsia" w:ascii="宋体" w:hAnsi="宋体" w:cs="宋体"/>
                                      <w:szCs w:val="21"/>
                                    </w:rPr>
                                    <w:t>▲Z1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9.2pt;margin-top:91.85pt;height:24pt;width:38pt;z-index:251780096;mso-width-relative:page;mso-height-relative:page;" filled="f" stroked="f" coordsize="21600,21600" o:gfxdata="UEsDBAoAAAAAAIdO4kAAAAAAAAAAAAAAAAAEAAAAZHJzL1BLAwQUAAAACACHTuJAtcaXCdgAAAAM&#10;AQAADwAAAGRycy9kb3ducmV2LnhtbE2PTU/DMAyG70j8h8hI3FjStbCua7oDiCuI8SHtljVeW9E4&#10;VZOt5d/jneBov49ePy63s+vFGcfQedKQLBQIpNrbjhoNH+/PdzmIEA1Z03tCDT8YYFtdX5WmsH6i&#10;NzzvYiO4hEJhNLQxDoWUoW7RmbDwAxJnRz86E3kcG2lHM3G56+VSqQfpTEd8oTUDPrZYf+9OTsPn&#10;y3H/lanX5sndD5OflSS3llrf3iRqAyLiHP9guOizOlTsdPAnskH0GtZpnjHKQZ6uQFwIlWS8OmhY&#10;pskKZFXK/09Uv1BLAwQUAAAACACHTuJAsdVgxwsCAADhAwAADgAAAGRycy9lMm9Eb2MueG1srVPN&#10;jtMwEL4j8Q6W7zRNm+7SqOlq2dUipOVHWngAx3Eai8Rjxm6T8gDwBpy4cOe5+hyMne5ugRviYnl+&#10;/M1834xXF0PXsp1Cp8EUPJ1MOVNGQqXNpuAf3t88e86Z88JUogWjCr5Xjl+snz5Z9TZXM2igrRQy&#10;AjEu723BG+9tniRONqoTbgJWGQrWgJ3wZOImqVD0hN61yWw6PUt6wMoiSOUcea/HIF9H/LpW0r+t&#10;a6c8awtOvfl4YjzLcCbrlcg3KGyj5bEN8Q9ddEIbKvoAdS28YFvUf0F1WiI4qP1EQpdAXWupIgdi&#10;k07/YHPXCKsiFxLH2QeZ3P+DlW9275DpquBzkseIjmZ0+Pb18P3n4ccXRj4SqLcup7w7S5l+eAED&#10;DTqSdfYW5EfHDFw1wmzUJSL0jRIVNZiGl8nJ0xHHBZCyfw0VFRJbDxFoqLEL6pEeLKDPzrMsW3C2&#10;L/jZMl2ki3FOavBMUnyezRdzCkuKz2fpklJDMZHf41h0/qWCjoVLwZHWINYRu1vnx9T7lFDWwI1u&#10;W/KLvDW/OQhz9Ki4S8fXgVUgMlLyQznQ2+AsodoTP4Rxz+hf0KUB/MxZTztWcPdpK1Bx1r4ypNEy&#10;zbKwlNHIFuczMvA0Up5GhJEEVXDP2Xi98uMiby3qTUOVxqkYuCRdax2JPnZ1nAbtUZTquPNhUU/t&#10;mPX4M9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GlwnYAAAADAEAAA8AAAAAAAAAAQAgAAAA&#10;IgAAAGRycy9kb3ducmV2LnhtbFBLAQIUABQAAAAIAIdO4kCx1WDHCwIAAOEDAAAOAAAAAAAAAAEA&#10;IAAAACcBAABkcnMvZTJvRG9jLnhtbFBLBQYAAAAABgAGAFkBAACkBQAAAAA=&#10;">
                      <v:fill on="f" focussize="0,0"/>
                      <v:stroke on="f"/>
                      <v:imagedata o:title=""/>
                      <o:lock v:ext="edit" aspectratio="f"/>
                      <v:textbox>
                        <w:txbxContent>
                          <w:p>
                            <w:pPr>
                              <w:rPr>
                                <w:sz w:val="24"/>
                              </w:rPr>
                            </w:pPr>
                            <w:r>
                              <w:rPr>
                                <w:rFonts w:hint="eastAsia" w:ascii="宋体" w:hAnsi="宋体" w:cs="宋体"/>
                                <w:szCs w:val="21"/>
                              </w:rPr>
                              <w:t>▲Z1</w:t>
                            </w:r>
                          </w:p>
                        </w:txbxContent>
                      </v:textbox>
                    </v:shape>
                  </w:pict>
                </mc:Fallback>
              </mc:AlternateContent>
            </w:r>
          </w:p>
          <w:p>
            <w:pPr>
              <w:jc w:val="center"/>
              <w:rPr>
                <w:rFonts w:ascii="黑体" w:eastAsia="黑体"/>
                <w:color w:val="000000" w:themeColor="text1"/>
                <w:sz w:val="24"/>
              </w:rPr>
            </w:pPr>
            <w:r>
              <w:rPr>
                <w:rFonts w:hint="eastAsia" w:ascii="黑体" w:eastAsia="黑体"/>
                <w:color w:val="000000" w:themeColor="text1"/>
                <w:sz w:val="24"/>
              </w:rPr>
              <w:t>图2-3 项目平面图及污染物监测点位示意图</w:t>
            </w:r>
          </w:p>
          <w:p>
            <w:pPr>
              <w:jc w:val="center"/>
              <w:rPr>
                <w:b/>
                <w:color w:val="FF0000"/>
                <w:sz w:val="28"/>
                <w:szCs w:val="28"/>
              </w:rPr>
            </w:pPr>
            <w:r>
              <w:rPr>
                <w:rFonts w:hint="eastAsia"/>
                <w:color w:val="000000" w:themeColor="text1"/>
                <w:szCs w:val="21"/>
              </w:rPr>
              <w:t xml:space="preserve">图例：★--废水点位   </w:t>
            </w:r>
            <w:r>
              <w:rPr>
                <w:rFonts w:hint="eastAsia" w:ascii="宋体" w:hAnsi="宋体"/>
                <w:bCs/>
                <w:color w:val="000000" w:themeColor="text1"/>
                <w:szCs w:val="21"/>
              </w:rPr>
              <w:t>☆</w:t>
            </w:r>
            <w:r>
              <w:rPr>
                <w:rFonts w:hint="eastAsia"/>
                <w:color w:val="000000" w:themeColor="text1"/>
                <w:szCs w:val="21"/>
              </w:rPr>
              <w:t>--雨水点位   ◎--废气点位   ▲--噪声点位</w:t>
            </w:r>
          </w:p>
        </w:tc>
      </w:tr>
    </w:tbl>
    <w:p>
      <w:pPr>
        <w:spacing w:line="336" w:lineRule="auto"/>
        <w:jc w:val="left"/>
        <w:rPr>
          <w:rFonts w:ascii="宋体" w:hAnsi="宋体"/>
          <w:color w:val="FF0000"/>
          <w:sz w:val="24"/>
          <w:szCs w:val="22"/>
        </w:rPr>
        <w:sectPr>
          <w:pgSz w:w="16838" w:h="11906" w:orient="landscape"/>
          <w:pgMar w:top="1588" w:right="1440" w:bottom="1588" w:left="1134" w:header="851" w:footer="992" w:gutter="0"/>
          <w:cols w:space="720" w:num="1"/>
          <w:docGrid w:linePitch="312" w:charSpace="0"/>
        </w:sectPr>
      </w:pPr>
    </w:p>
    <w:bookmarkEnd w:id="28"/>
    <w:bookmarkEnd w:id="29"/>
    <w:bookmarkEnd w:id="30"/>
    <w:bookmarkEnd w:id="31"/>
    <w:bookmarkEnd w:id="32"/>
    <w:bookmarkEnd w:id="33"/>
    <w:bookmarkEnd w:id="34"/>
    <w:p>
      <w:pPr>
        <w:rPr>
          <w:b/>
          <w:color w:val="FF0000"/>
          <w:sz w:val="28"/>
          <w:szCs w:val="28"/>
        </w:rPr>
      </w:pPr>
      <w:r>
        <w:rPr>
          <w:rFonts w:hint="eastAsia"/>
          <w:b/>
          <w:color w:val="FF0000"/>
          <w:sz w:val="28"/>
          <w:szCs w:val="28"/>
        </w:rPr>
        <w:t xml:space="preserve"> </w:t>
      </w:r>
      <w:bookmarkStart w:id="37" w:name="_Toc19768"/>
      <w:bookmarkStart w:id="38" w:name="_Toc18309"/>
      <w:bookmarkStart w:id="39" w:name="_Toc3925"/>
      <w:bookmarkStart w:id="40" w:name="_Toc31484"/>
      <w:bookmarkStart w:id="41" w:name="_Toc21937"/>
      <w:bookmarkStart w:id="42" w:name="_Toc22005"/>
      <w:bookmarkStart w:id="43" w:name="_Toc23012"/>
      <w:bookmarkStart w:id="44" w:name="_Toc23728"/>
      <w:bookmarkStart w:id="45" w:name="_Toc17290"/>
      <w:bookmarkStart w:id="46" w:name="_Toc10189"/>
      <w:bookmarkStart w:id="47" w:name="_Toc31702_WPSOffice_Level1"/>
      <w:bookmarkStart w:id="48" w:name="_Toc27603"/>
      <w:r>
        <w:rPr>
          <w:rFonts w:hint="eastAsia"/>
          <w:b/>
          <w:color w:val="000000" w:themeColor="text1"/>
          <w:sz w:val="28"/>
          <w:szCs w:val="28"/>
        </w:rPr>
        <w:t>续表</w:t>
      </w:r>
      <w:bookmarkEnd w:id="37"/>
      <w:bookmarkEnd w:id="38"/>
      <w:bookmarkEnd w:id="39"/>
      <w:bookmarkEnd w:id="40"/>
      <w:bookmarkEnd w:id="41"/>
      <w:bookmarkEnd w:id="42"/>
      <w:bookmarkEnd w:id="43"/>
      <w:r>
        <w:rPr>
          <w:rFonts w:hint="eastAsia"/>
          <w:b/>
          <w:color w:val="000000" w:themeColor="text1"/>
          <w:sz w:val="28"/>
          <w:szCs w:val="28"/>
        </w:rPr>
        <w:t>二</w:t>
      </w:r>
      <w:bookmarkEnd w:id="44"/>
      <w:bookmarkEnd w:id="45"/>
      <w:bookmarkEnd w:id="46"/>
      <w:bookmarkEnd w:id="47"/>
      <w:bookmarkEnd w:id="48"/>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napToGrid w:val="0"/>
              <w:spacing w:line="360" w:lineRule="auto"/>
              <w:rPr>
                <w:rFonts w:ascii="宋体" w:hAnsi="宋体" w:cs="宋体"/>
                <w:b/>
                <w:bCs/>
                <w:color w:val="000000" w:themeColor="text1"/>
                <w:sz w:val="24"/>
              </w:rPr>
            </w:pPr>
            <w:r>
              <w:rPr>
                <w:rFonts w:hint="eastAsia" w:ascii="宋体" w:hAnsi="宋体" w:cs="宋体"/>
                <w:b/>
                <w:bCs/>
                <w:color w:val="000000" w:themeColor="text1"/>
                <w:sz w:val="24"/>
              </w:rPr>
              <w:t>2、项目建设内容</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2.1生产规模</w:t>
            </w:r>
          </w:p>
          <w:p>
            <w:pPr>
              <w:snapToGrid w:val="0"/>
              <w:spacing w:line="360" w:lineRule="auto"/>
              <w:ind w:firstLine="480" w:firstLineChars="200"/>
              <w:rPr>
                <w:rFonts w:ascii="宋体" w:hAnsi="宋体" w:cs="宋体"/>
                <w:color w:val="FF0000"/>
                <w:sz w:val="24"/>
              </w:rPr>
            </w:pPr>
            <w:r>
              <w:rPr>
                <w:rFonts w:hint="eastAsia" w:ascii="宋体" w:hAnsi="宋体" w:cs="宋体"/>
                <w:color w:val="auto"/>
                <w:sz w:val="24"/>
                <w:lang w:eastAsia="zh-CN"/>
              </w:rPr>
              <w:t>环评</w:t>
            </w:r>
            <w:r>
              <w:rPr>
                <w:rFonts w:hint="eastAsia" w:ascii="宋体" w:hAnsi="宋体" w:cs="宋体"/>
                <w:color w:val="auto"/>
                <w:sz w:val="24"/>
              </w:rPr>
              <w:t>设计规模年产钢筋桁架楼承板5万吨、压型钢板2万吨、冷弯型刚3万吨，实际年产钢筋桁架楼承板1.5万吨，年产压型钢板0.4万吨，年产冷弯型钢0.1万吨。</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2.2.公共工程</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（1）给水</w:t>
            </w:r>
          </w:p>
          <w:p>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本项目由市政给水管网作为生产用水、生活用水和食堂用水。</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（2）排水</w:t>
            </w:r>
          </w:p>
          <w:p>
            <w:pPr>
              <w:snapToGrid w:val="0"/>
              <w:spacing w:line="360" w:lineRule="auto"/>
              <w:rPr>
                <w:rFonts w:ascii="宋体" w:hAnsi="宋体" w:cs="宋体"/>
                <w:color w:val="000000" w:themeColor="text1"/>
                <w:sz w:val="24"/>
              </w:rPr>
            </w:pPr>
            <w:r>
              <w:rPr>
                <w:rFonts w:hint="eastAsia" w:ascii="宋体" w:hAnsi="宋体" w:cs="宋体"/>
                <w:color w:val="FF0000"/>
                <w:sz w:val="24"/>
              </w:rPr>
              <w:t xml:space="preserve">    </w:t>
            </w:r>
            <w:r>
              <w:rPr>
                <w:rFonts w:hint="eastAsia" w:ascii="宋体" w:hAnsi="宋体" w:cs="宋体"/>
                <w:color w:val="000000" w:themeColor="text1"/>
                <w:sz w:val="24"/>
              </w:rPr>
              <w:t>建设项目实行雨污分流，雨水经收集后排入市政雨水管网。食堂废水经隔油隔渣池预处理后与生活污水接入开发区污水管网，进入六合污水处理厂处理达标后排入滁河。</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（3）供电</w:t>
            </w:r>
          </w:p>
          <w:p>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建设项目电力由城市区域供电系统供给。</w:t>
            </w:r>
          </w:p>
          <w:p>
            <w:pPr>
              <w:numPr>
                <w:ilvl w:val="0"/>
                <w:numId w:val="3"/>
              </w:numPr>
              <w:snapToGrid w:val="0"/>
              <w:spacing w:line="360" w:lineRule="auto"/>
              <w:rPr>
                <w:rFonts w:ascii="宋体" w:hAnsi="宋体" w:cs="宋体"/>
                <w:b/>
                <w:bCs/>
                <w:color w:val="000000" w:themeColor="text1"/>
                <w:sz w:val="24"/>
              </w:rPr>
            </w:pPr>
            <w:r>
              <w:rPr>
                <w:rFonts w:hint="eastAsia" w:ascii="宋体" w:hAnsi="宋体" w:cs="宋体"/>
                <w:b/>
                <w:bCs/>
                <w:color w:val="000000" w:themeColor="text1"/>
                <w:sz w:val="24"/>
              </w:rPr>
              <w:t>主要原辅材料及设备</w:t>
            </w:r>
          </w:p>
          <w:p>
            <w:pPr>
              <w:jc w:val="center"/>
              <w:rPr>
                <w:rFonts w:ascii="宋体" w:hAnsi="宋体"/>
                <w:color w:val="000000" w:themeColor="text1"/>
                <w:sz w:val="23"/>
              </w:rPr>
            </w:pPr>
            <w:r>
              <w:rPr>
                <w:rFonts w:hint="eastAsia" w:ascii="黑体" w:eastAsia="黑体"/>
                <w:color w:val="000000" w:themeColor="text1"/>
                <w:sz w:val="24"/>
              </w:rPr>
              <w:t>表2-1 主要原辅材料一览表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24"/>
              <w:gridCol w:w="1920"/>
              <w:gridCol w:w="1586"/>
              <w:gridCol w:w="2003"/>
              <w:gridCol w:w="23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224" w:type="dxa"/>
                  <w:vAlign w:val="center"/>
                </w:tcPr>
                <w:p>
                  <w:pPr>
                    <w:jc w:val="center"/>
                    <w:rPr>
                      <w:rFonts w:ascii="宋体" w:hAnsi="宋体"/>
                      <w:b/>
                      <w:bCs/>
                      <w:color w:val="000000" w:themeColor="text1"/>
                      <w:szCs w:val="21"/>
                    </w:rPr>
                  </w:pPr>
                  <w:r>
                    <w:rPr>
                      <w:rFonts w:hint="eastAsia" w:ascii="宋体" w:hAnsi="宋体" w:cs="宋体"/>
                      <w:b/>
                      <w:bCs/>
                      <w:color w:val="000000" w:themeColor="text1"/>
                      <w:szCs w:val="21"/>
                    </w:rPr>
                    <w:t>序号</w:t>
                  </w:r>
                </w:p>
              </w:tc>
              <w:tc>
                <w:tcPr>
                  <w:tcW w:w="1920" w:type="dxa"/>
                  <w:vAlign w:val="center"/>
                </w:tcPr>
                <w:p>
                  <w:pPr>
                    <w:jc w:val="center"/>
                    <w:rPr>
                      <w:rFonts w:ascii="宋体" w:hAnsi="宋体"/>
                      <w:b/>
                      <w:bCs/>
                      <w:color w:val="000000" w:themeColor="text1"/>
                      <w:szCs w:val="21"/>
                    </w:rPr>
                  </w:pPr>
                  <w:r>
                    <w:rPr>
                      <w:rFonts w:hint="eastAsia" w:ascii="宋体" w:hAnsi="宋体" w:cs="宋体"/>
                      <w:b/>
                      <w:bCs/>
                      <w:color w:val="000000" w:themeColor="text1"/>
                      <w:szCs w:val="21"/>
                    </w:rPr>
                    <w:t>项目</w:t>
                  </w:r>
                </w:p>
              </w:tc>
              <w:tc>
                <w:tcPr>
                  <w:tcW w:w="1586" w:type="dxa"/>
                  <w:vAlign w:val="center"/>
                </w:tcPr>
                <w:p>
                  <w:pPr>
                    <w:jc w:val="center"/>
                    <w:rPr>
                      <w:rFonts w:ascii="宋体" w:hAnsi="宋体"/>
                      <w:b/>
                      <w:bCs/>
                      <w:color w:val="000000" w:themeColor="text1"/>
                      <w:szCs w:val="21"/>
                    </w:rPr>
                  </w:pPr>
                  <w:r>
                    <w:rPr>
                      <w:rFonts w:hint="eastAsia" w:ascii="宋体" w:hAnsi="宋体" w:cs="宋体"/>
                      <w:b/>
                      <w:bCs/>
                      <w:color w:val="000000" w:themeColor="text1"/>
                      <w:szCs w:val="21"/>
                    </w:rPr>
                    <w:t>单位</w:t>
                  </w:r>
                </w:p>
              </w:tc>
              <w:tc>
                <w:tcPr>
                  <w:tcW w:w="2003" w:type="dxa"/>
                  <w:vAlign w:val="center"/>
                </w:tcPr>
                <w:p>
                  <w:pPr>
                    <w:jc w:val="center"/>
                    <w:rPr>
                      <w:rFonts w:ascii="宋体" w:hAnsi="宋体"/>
                      <w:b/>
                      <w:bCs/>
                      <w:color w:val="000000" w:themeColor="text1"/>
                      <w:szCs w:val="21"/>
                    </w:rPr>
                  </w:pPr>
                  <w:r>
                    <w:rPr>
                      <w:rFonts w:hint="eastAsia" w:ascii="宋体" w:hAnsi="宋体" w:cs="宋体"/>
                      <w:b/>
                      <w:bCs/>
                      <w:color w:val="000000" w:themeColor="text1"/>
                      <w:szCs w:val="21"/>
                    </w:rPr>
                    <w:t>环评数量</w:t>
                  </w:r>
                </w:p>
              </w:tc>
              <w:tc>
                <w:tcPr>
                  <w:tcW w:w="2338" w:type="dxa"/>
                  <w:vAlign w:val="center"/>
                </w:tcPr>
                <w:p>
                  <w:pPr>
                    <w:jc w:val="center"/>
                    <w:rPr>
                      <w:rFonts w:ascii="宋体" w:hAnsi="宋体"/>
                      <w:b/>
                      <w:bCs/>
                      <w:color w:val="000000" w:themeColor="text1"/>
                      <w:szCs w:val="21"/>
                    </w:rPr>
                  </w:pPr>
                  <w:r>
                    <w:rPr>
                      <w:rFonts w:hint="eastAsia" w:ascii="宋体" w:hAnsi="宋体"/>
                      <w:b/>
                      <w:bCs/>
                      <w:color w:val="000000" w:themeColor="text1"/>
                      <w:szCs w:val="21"/>
                    </w:rPr>
                    <w:t>实际数量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224" w:type="dxa"/>
                  <w:vAlign w:val="center"/>
                </w:tcPr>
                <w:p>
                  <w:pPr>
                    <w:jc w:val="center"/>
                    <w:rPr>
                      <w:rFonts w:ascii="宋体" w:hAnsi="宋体"/>
                      <w:color w:val="000000" w:themeColor="text1"/>
                      <w:szCs w:val="21"/>
                    </w:rPr>
                  </w:pPr>
                  <w:r>
                    <w:rPr>
                      <w:rFonts w:hint="eastAsia" w:ascii="宋体" w:hAnsi="宋体" w:cs="宋体"/>
                      <w:color w:val="000000" w:themeColor="text1"/>
                      <w:szCs w:val="21"/>
                    </w:rPr>
                    <w:t>1</w:t>
                  </w:r>
                </w:p>
              </w:tc>
              <w:tc>
                <w:tcPr>
                  <w:tcW w:w="1920" w:type="dxa"/>
                  <w:vAlign w:val="center"/>
                </w:tcPr>
                <w:p>
                  <w:pPr>
                    <w:jc w:val="center"/>
                    <w:rPr>
                      <w:rFonts w:ascii="宋体" w:hAnsi="宋体"/>
                      <w:color w:val="000000" w:themeColor="text1"/>
                      <w:szCs w:val="21"/>
                    </w:rPr>
                  </w:pPr>
                  <w:r>
                    <w:rPr>
                      <w:rFonts w:hint="eastAsia" w:ascii="宋体" w:hAnsi="宋体"/>
                      <w:color w:val="000000" w:themeColor="text1"/>
                      <w:szCs w:val="21"/>
                    </w:rPr>
                    <w:t>螺纹钢</w:t>
                  </w:r>
                </w:p>
              </w:tc>
              <w:tc>
                <w:tcPr>
                  <w:tcW w:w="1586" w:type="dxa"/>
                  <w:vAlign w:val="center"/>
                </w:tcPr>
                <w:p>
                  <w:pPr>
                    <w:jc w:val="center"/>
                    <w:rPr>
                      <w:rFonts w:ascii="宋体" w:hAnsi="宋体"/>
                      <w:color w:val="000000" w:themeColor="text1"/>
                      <w:szCs w:val="21"/>
                    </w:rPr>
                  </w:pPr>
                  <w:r>
                    <w:rPr>
                      <w:rFonts w:hint="eastAsia" w:ascii="宋体" w:hAnsi="宋体" w:cs="宋体"/>
                      <w:color w:val="000000" w:themeColor="text1"/>
                      <w:szCs w:val="21"/>
                    </w:rPr>
                    <w:t>吨/年</w:t>
                  </w:r>
                </w:p>
              </w:tc>
              <w:tc>
                <w:tcPr>
                  <w:tcW w:w="2003"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20000</w:t>
                  </w:r>
                </w:p>
              </w:tc>
              <w:tc>
                <w:tcPr>
                  <w:tcW w:w="2338" w:type="dxa"/>
                  <w:vAlign w:val="bottom"/>
                </w:tcPr>
                <w:p>
                  <w:pPr>
                    <w:jc w:val="center"/>
                    <w:rPr>
                      <w:rFonts w:ascii="宋体" w:hAnsi="宋体" w:cs="宋体"/>
                      <w:color w:val="000000" w:themeColor="text1"/>
                      <w:szCs w:val="21"/>
                    </w:rPr>
                  </w:pPr>
                  <w:r>
                    <w:rPr>
                      <w:rFonts w:ascii="宋体" w:hAnsi="宋体" w:cs="宋体"/>
                      <w:color w:val="000000" w:themeColor="text1"/>
                      <w:szCs w:val="21"/>
                    </w:rPr>
                    <w:t>4000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90" w:hRule="atLeast"/>
                <w:jc w:val="center"/>
              </w:trPr>
              <w:tc>
                <w:tcPr>
                  <w:tcW w:w="1224" w:type="dxa"/>
                  <w:tcBorders>
                    <w:bottom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2</w:t>
                  </w:r>
                </w:p>
              </w:tc>
              <w:tc>
                <w:tcPr>
                  <w:tcW w:w="1920" w:type="dxa"/>
                  <w:tcBorders>
                    <w:bottom w:val="single" w:color="auto" w:sz="4" w:space="0"/>
                  </w:tcBorders>
                  <w:vAlign w:val="center"/>
                </w:tcPr>
                <w:p>
                  <w:pPr>
                    <w:jc w:val="center"/>
                    <w:rPr>
                      <w:rFonts w:ascii="宋体" w:hAnsi="宋体"/>
                      <w:color w:val="000000" w:themeColor="text1"/>
                      <w:szCs w:val="21"/>
                    </w:rPr>
                  </w:pPr>
                  <w:r>
                    <w:rPr>
                      <w:rFonts w:hint="eastAsia" w:ascii="宋体" w:hAnsi="宋体"/>
                      <w:color w:val="000000" w:themeColor="text1"/>
                      <w:szCs w:val="21"/>
                    </w:rPr>
                    <w:t>镀锌/彩涂钢板</w:t>
                  </w:r>
                </w:p>
              </w:tc>
              <w:tc>
                <w:tcPr>
                  <w:tcW w:w="1586" w:type="dxa"/>
                  <w:tcBorders>
                    <w:bottom w:val="single" w:color="auto" w:sz="4" w:space="0"/>
                  </w:tcBorders>
                  <w:vAlign w:val="center"/>
                </w:tcPr>
                <w:p>
                  <w:pPr>
                    <w:jc w:val="center"/>
                    <w:rPr>
                      <w:color w:val="000000" w:themeColor="text1"/>
                      <w:szCs w:val="21"/>
                    </w:rPr>
                  </w:pPr>
                  <w:r>
                    <w:rPr>
                      <w:rFonts w:hint="eastAsia" w:ascii="宋体" w:hAnsi="宋体" w:cs="宋体"/>
                      <w:color w:val="000000" w:themeColor="text1"/>
                      <w:szCs w:val="21"/>
                    </w:rPr>
                    <w:t>吨/年</w:t>
                  </w:r>
                </w:p>
              </w:tc>
              <w:tc>
                <w:tcPr>
                  <w:tcW w:w="2003" w:type="dxa"/>
                  <w:tcBorders>
                    <w:bottom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85000</w:t>
                  </w:r>
                </w:p>
              </w:tc>
              <w:tc>
                <w:tcPr>
                  <w:tcW w:w="2338" w:type="dxa"/>
                  <w:tcBorders>
                    <w:bottom w:val="single" w:color="auto" w:sz="4" w:space="0"/>
                  </w:tcBorders>
                  <w:vAlign w:val="bottom"/>
                </w:tcPr>
                <w:p>
                  <w:pPr>
                    <w:jc w:val="center"/>
                    <w:rPr>
                      <w:rFonts w:ascii="宋体" w:hAnsi="宋体" w:cs="宋体"/>
                      <w:color w:val="000000" w:themeColor="text1"/>
                      <w:szCs w:val="21"/>
                    </w:rPr>
                  </w:pPr>
                  <w:r>
                    <w:rPr>
                      <w:rFonts w:ascii="宋体" w:hAnsi="宋体" w:cs="宋体"/>
                      <w:color w:val="000000" w:themeColor="text1"/>
                      <w:szCs w:val="21"/>
                    </w:rPr>
                    <w:t>17000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85" w:hRule="atLeast"/>
                <w:jc w:val="center"/>
              </w:trPr>
              <w:tc>
                <w:tcPr>
                  <w:tcW w:w="1224" w:type="dxa"/>
                  <w:tcBorders>
                    <w:top w:val="single" w:color="auto" w:sz="4" w:space="0"/>
                    <w:bottom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3</w:t>
                  </w:r>
                </w:p>
              </w:tc>
              <w:tc>
                <w:tcPr>
                  <w:tcW w:w="1920" w:type="dxa"/>
                  <w:tcBorders>
                    <w:top w:val="single" w:color="auto" w:sz="4" w:space="0"/>
                    <w:bottom w:val="single" w:color="auto" w:sz="4" w:space="0"/>
                  </w:tcBorders>
                  <w:vAlign w:val="center"/>
                </w:tcPr>
                <w:p>
                  <w:pPr>
                    <w:jc w:val="center"/>
                    <w:rPr>
                      <w:rFonts w:ascii="宋体" w:hAnsi="宋体"/>
                      <w:bCs/>
                      <w:color w:val="000000" w:themeColor="text1"/>
                      <w:szCs w:val="21"/>
                    </w:rPr>
                  </w:pPr>
                  <w:r>
                    <w:rPr>
                      <w:rFonts w:hint="eastAsia" w:ascii="宋体" w:hAnsi="宋体"/>
                      <w:bCs/>
                      <w:color w:val="000000" w:themeColor="text1"/>
                      <w:szCs w:val="21"/>
                    </w:rPr>
                    <w:t>带钢</w:t>
                  </w:r>
                </w:p>
              </w:tc>
              <w:tc>
                <w:tcPr>
                  <w:tcW w:w="1586" w:type="dxa"/>
                  <w:tcBorders>
                    <w:top w:val="single" w:color="auto" w:sz="4" w:space="0"/>
                    <w:bottom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吨/年</w:t>
                  </w:r>
                </w:p>
              </w:tc>
              <w:tc>
                <w:tcPr>
                  <w:tcW w:w="2003" w:type="dxa"/>
                  <w:tcBorders>
                    <w:top w:val="single" w:color="auto" w:sz="4" w:space="0"/>
                    <w:bottom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25000</w:t>
                  </w:r>
                </w:p>
              </w:tc>
              <w:tc>
                <w:tcPr>
                  <w:tcW w:w="2338" w:type="dxa"/>
                  <w:tcBorders>
                    <w:top w:val="single" w:color="auto" w:sz="4" w:space="0"/>
                    <w:bottom w:val="single" w:color="auto" w:sz="4" w:space="0"/>
                  </w:tcBorders>
                  <w:vAlign w:val="bottom"/>
                </w:tcPr>
                <w:p>
                  <w:pPr>
                    <w:jc w:val="center"/>
                    <w:rPr>
                      <w:rFonts w:ascii="宋体" w:hAnsi="宋体" w:cs="宋体"/>
                      <w:color w:val="000000" w:themeColor="text1"/>
                      <w:szCs w:val="21"/>
                    </w:rPr>
                  </w:pPr>
                  <w:r>
                    <w:rPr>
                      <w:rFonts w:ascii="宋体" w:hAnsi="宋体" w:cs="宋体"/>
                      <w:color w:val="000000" w:themeColor="text1"/>
                      <w:szCs w:val="21"/>
                    </w:rPr>
                    <w:t>5000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85" w:hRule="atLeast"/>
                <w:jc w:val="center"/>
              </w:trPr>
              <w:tc>
                <w:tcPr>
                  <w:tcW w:w="1224" w:type="dxa"/>
                  <w:tcBorders>
                    <w:top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4</w:t>
                  </w:r>
                </w:p>
              </w:tc>
              <w:tc>
                <w:tcPr>
                  <w:tcW w:w="1920" w:type="dxa"/>
                  <w:tcBorders>
                    <w:top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焊条</w:t>
                  </w:r>
                </w:p>
              </w:tc>
              <w:tc>
                <w:tcPr>
                  <w:tcW w:w="1586" w:type="dxa"/>
                  <w:tcBorders>
                    <w:top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吨/年</w:t>
                  </w:r>
                </w:p>
              </w:tc>
              <w:tc>
                <w:tcPr>
                  <w:tcW w:w="2003" w:type="dxa"/>
                  <w:tcBorders>
                    <w:top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10</w:t>
                  </w:r>
                </w:p>
              </w:tc>
              <w:tc>
                <w:tcPr>
                  <w:tcW w:w="2338" w:type="dxa"/>
                  <w:tcBorders>
                    <w:top w:val="single" w:color="auto" w:sz="4" w:space="0"/>
                  </w:tcBorders>
                  <w:vAlign w:val="bottom"/>
                </w:tcPr>
                <w:p>
                  <w:pPr>
                    <w:jc w:val="center"/>
                    <w:rPr>
                      <w:rFonts w:ascii="宋体" w:hAnsi="宋体" w:cs="宋体"/>
                      <w:color w:val="000000" w:themeColor="text1"/>
                      <w:szCs w:val="21"/>
                    </w:rPr>
                  </w:pPr>
                  <w:r>
                    <w:rPr>
                      <w:rFonts w:ascii="宋体" w:hAnsi="宋体" w:cs="宋体"/>
                      <w:color w:val="000000" w:themeColor="text1"/>
                      <w:szCs w:val="21"/>
                    </w:rPr>
                    <w:t>2</w:t>
                  </w:r>
                </w:p>
              </w:tc>
            </w:tr>
          </w:tbl>
          <w:p>
            <w:pPr>
              <w:jc w:val="center"/>
              <w:rPr>
                <w:rFonts w:ascii="宋体" w:hAnsi="宋体" w:cs="宋体"/>
                <w:color w:val="000000" w:themeColor="text1"/>
                <w:sz w:val="24"/>
              </w:rPr>
            </w:pPr>
            <w:r>
              <w:rPr>
                <w:rFonts w:hint="eastAsia" w:ascii="黑体" w:eastAsia="黑体"/>
                <w:color w:val="000000" w:themeColor="text1"/>
                <w:sz w:val="24"/>
              </w:rPr>
              <w:t>表2-2 生产设备一览表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6"/>
              <w:gridCol w:w="4072"/>
              <w:gridCol w:w="1737"/>
              <w:gridCol w:w="22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016" w:type="dxa"/>
                  <w:vAlign w:val="center"/>
                </w:tcPr>
                <w:p>
                  <w:pPr>
                    <w:jc w:val="center"/>
                    <w:rPr>
                      <w:rFonts w:ascii="宋体" w:hAnsi="宋体" w:cs="宋体"/>
                      <w:b/>
                      <w:bCs/>
                      <w:color w:val="000000" w:themeColor="text1"/>
                    </w:rPr>
                  </w:pPr>
                  <w:r>
                    <w:rPr>
                      <w:rFonts w:hint="eastAsia" w:ascii="宋体" w:hAnsi="宋体" w:cs="宋体"/>
                      <w:b/>
                      <w:bCs/>
                      <w:color w:val="000000" w:themeColor="text1"/>
                    </w:rPr>
                    <w:t>序号</w:t>
                  </w:r>
                </w:p>
              </w:tc>
              <w:tc>
                <w:tcPr>
                  <w:tcW w:w="4072" w:type="dxa"/>
                  <w:vAlign w:val="center"/>
                </w:tcPr>
                <w:p>
                  <w:pPr>
                    <w:jc w:val="center"/>
                    <w:rPr>
                      <w:rFonts w:ascii="宋体" w:hAnsi="宋体" w:cs="宋体"/>
                      <w:b/>
                      <w:bCs/>
                      <w:color w:val="000000" w:themeColor="text1"/>
                    </w:rPr>
                  </w:pPr>
                  <w:r>
                    <w:rPr>
                      <w:rFonts w:hint="eastAsia" w:ascii="宋体" w:hAnsi="宋体" w:cs="宋体"/>
                      <w:b/>
                      <w:bCs/>
                      <w:color w:val="000000" w:themeColor="text1"/>
                    </w:rPr>
                    <w:t>设备名称</w:t>
                  </w:r>
                </w:p>
              </w:tc>
              <w:tc>
                <w:tcPr>
                  <w:tcW w:w="1737" w:type="dxa"/>
                  <w:vAlign w:val="center"/>
                </w:tcPr>
                <w:p>
                  <w:pPr>
                    <w:jc w:val="center"/>
                    <w:rPr>
                      <w:rFonts w:ascii="宋体" w:hAnsi="宋体" w:cs="宋体"/>
                      <w:b/>
                      <w:bCs/>
                      <w:color w:val="000000" w:themeColor="text1"/>
                    </w:rPr>
                  </w:pPr>
                  <w:r>
                    <w:rPr>
                      <w:rFonts w:hint="eastAsia" w:ascii="宋体" w:hAnsi="宋体" w:cs="宋体"/>
                      <w:b/>
                      <w:bCs/>
                      <w:color w:val="000000" w:themeColor="text1"/>
                    </w:rPr>
                    <w:t>环评设计数量</w:t>
                  </w:r>
                </w:p>
              </w:tc>
              <w:tc>
                <w:tcPr>
                  <w:tcW w:w="2246" w:type="dxa"/>
                  <w:vAlign w:val="center"/>
                </w:tcPr>
                <w:p>
                  <w:pPr>
                    <w:jc w:val="center"/>
                    <w:rPr>
                      <w:rFonts w:ascii="宋体" w:hAnsi="宋体" w:cs="宋体"/>
                      <w:b/>
                      <w:bCs/>
                      <w:color w:val="000000" w:themeColor="text1"/>
                    </w:rPr>
                  </w:pPr>
                  <w:r>
                    <w:rPr>
                      <w:rFonts w:hint="eastAsia" w:ascii="宋体" w:hAnsi="宋体" w:cs="宋体"/>
                      <w:b/>
                      <w:bCs/>
                      <w:color w:val="000000" w:themeColor="text1"/>
                    </w:rPr>
                    <w:t>实际数量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1</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第五代钢板桁架楼承板机组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2套</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2</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第四代钢板桁架楼承板机组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2套</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3</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高强压型钢板机组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5台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5台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4</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压型钢板机组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12台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12台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5</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无缝冷弯型钢机组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3台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0台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6</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冷弯型钢机组</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3台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7</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自动剪板机</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2台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8</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数控折弯机</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2台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9</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检测设备</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6套</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4套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16" w:type="dxa"/>
                  <w:vAlign w:val="center"/>
                </w:tcPr>
                <w:p>
                  <w:pPr>
                    <w:jc w:val="center"/>
                    <w:rPr>
                      <w:rFonts w:ascii="宋体" w:hAnsi="宋体"/>
                      <w:bCs/>
                      <w:color w:val="000000" w:themeColor="text1"/>
                    </w:rPr>
                  </w:pPr>
                  <w:r>
                    <w:rPr>
                      <w:rFonts w:hint="eastAsia" w:ascii="宋体" w:hAnsi="宋体"/>
                      <w:bCs/>
                      <w:color w:val="000000" w:themeColor="text1"/>
                    </w:rPr>
                    <w:t>10</w:t>
                  </w:r>
                </w:p>
              </w:tc>
              <w:tc>
                <w:tcPr>
                  <w:tcW w:w="4072" w:type="dxa"/>
                  <w:vAlign w:val="center"/>
                </w:tcPr>
                <w:p>
                  <w:pPr>
                    <w:jc w:val="center"/>
                    <w:rPr>
                      <w:rFonts w:ascii="宋体" w:hAnsi="宋体"/>
                      <w:bCs/>
                      <w:color w:val="000000" w:themeColor="text1"/>
                    </w:rPr>
                  </w:pPr>
                  <w:r>
                    <w:rPr>
                      <w:rFonts w:hint="eastAsia" w:ascii="宋体" w:hAnsi="宋体"/>
                      <w:bCs/>
                      <w:color w:val="000000" w:themeColor="text1"/>
                    </w:rPr>
                    <w:t>航吊设备</w:t>
                  </w:r>
                </w:p>
              </w:tc>
              <w:tc>
                <w:tcPr>
                  <w:tcW w:w="1737" w:type="dxa"/>
                  <w:vAlign w:val="center"/>
                </w:tcPr>
                <w:p>
                  <w:pPr>
                    <w:jc w:val="center"/>
                    <w:rPr>
                      <w:rFonts w:ascii="宋体" w:hAnsi="宋体"/>
                      <w:bCs/>
                      <w:color w:val="000000" w:themeColor="text1"/>
                    </w:rPr>
                  </w:pPr>
                  <w:r>
                    <w:rPr>
                      <w:rFonts w:hint="eastAsia" w:ascii="宋体" w:hAnsi="宋体"/>
                      <w:bCs/>
                      <w:color w:val="000000" w:themeColor="text1"/>
                    </w:rPr>
                    <w:t>5台</w:t>
                  </w:r>
                </w:p>
              </w:tc>
              <w:tc>
                <w:tcPr>
                  <w:tcW w:w="2246" w:type="dxa"/>
                  <w:vAlign w:val="center"/>
                </w:tcPr>
                <w:p>
                  <w:pPr>
                    <w:jc w:val="center"/>
                    <w:rPr>
                      <w:rFonts w:ascii="宋体" w:hAnsi="宋体"/>
                      <w:bCs/>
                      <w:color w:val="000000" w:themeColor="text1"/>
                    </w:rPr>
                  </w:pPr>
                  <w:r>
                    <w:rPr>
                      <w:rFonts w:hint="eastAsia" w:ascii="宋体" w:hAnsi="宋体"/>
                      <w:bCs/>
                      <w:color w:val="000000" w:themeColor="text1"/>
                    </w:rPr>
                    <w:t>12台</w:t>
                  </w:r>
                </w:p>
              </w:tc>
            </w:tr>
          </w:tbl>
          <w:p>
            <w:pPr>
              <w:rPr>
                <w:b/>
                <w:color w:val="FF0000"/>
                <w:sz w:val="28"/>
                <w:szCs w:val="28"/>
              </w:rPr>
            </w:pPr>
          </w:p>
        </w:tc>
      </w:tr>
    </w:tbl>
    <w:p>
      <w:pPr>
        <w:rPr>
          <w:b/>
          <w:color w:val="000000" w:themeColor="text1"/>
          <w:sz w:val="28"/>
          <w:szCs w:val="28"/>
        </w:rPr>
      </w:pPr>
      <w:bookmarkStart w:id="49" w:name="_Toc30990_WPSOffice_Level1"/>
      <w:bookmarkStart w:id="50" w:name="_Toc19764"/>
      <w:bookmarkStart w:id="51" w:name="_Toc14444"/>
      <w:bookmarkStart w:id="52" w:name="_Toc28389"/>
      <w:bookmarkStart w:id="53" w:name="_Toc13481"/>
      <w:bookmarkStart w:id="54" w:name="_Toc28039"/>
      <w:bookmarkStart w:id="55" w:name="_Toc17917"/>
      <w:bookmarkStart w:id="56" w:name="_Toc28345"/>
      <w:bookmarkStart w:id="57" w:name="_Toc24282"/>
      <w:bookmarkStart w:id="58" w:name="_Toc18004"/>
      <w:bookmarkStart w:id="59" w:name="_Toc6297"/>
      <w:bookmarkStart w:id="60" w:name="_Toc1598"/>
      <w:r>
        <w:rPr>
          <w:b/>
          <w:color w:val="000000" w:themeColor="text1"/>
          <w:sz w:val="28"/>
          <w:szCs w:val="28"/>
        </w:rPr>
        <w:t>续表二</w:t>
      </w:r>
      <w:bookmarkEnd w:id="49"/>
    </w:p>
    <w:tbl>
      <w:tblPr>
        <w:tblStyle w:val="12"/>
        <w:tblW w:w="9354" w:type="dxa"/>
        <w:jc w:val="center"/>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napToGrid w:val="0"/>
              <w:spacing w:line="360" w:lineRule="auto"/>
              <w:rPr>
                <w:rFonts w:ascii="宋体" w:hAnsi="宋体" w:cs="宋体"/>
                <w:b/>
                <w:bCs/>
                <w:color w:val="000000" w:themeColor="text1"/>
                <w:sz w:val="24"/>
              </w:rPr>
            </w:pPr>
            <w:r>
              <w:rPr>
                <w:rFonts w:hint="eastAsia" w:ascii="宋体" w:hAnsi="宋体" w:cs="宋体"/>
                <w:b/>
                <w:bCs/>
                <w:color w:val="000000" w:themeColor="text1"/>
                <w:sz w:val="24"/>
              </w:rPr>
              <w:t>4、生产工艺</w:t>
            </w:r>
          </w:p>
          <w:p>
            <w:pPr>
              <w:snapToGrid w:val="0"/>
              <w:spacing w:line="360" w:lineRule="auto"/>
              <w:rPr>
                <w:rFonts w:ascii="宋体" w:hAnsi="宋体" w:cs="宋体"/>
                <w:color w:val="000000" w:themeColor="text1"/>
                <w:sz w:val="24"/>
              </w:rPr>
            </w:pPr>
            <w:r>
              <w:rPr>
                <w:rFonts w:hint="eastAsia" w:ascii="宋体" w:hAnsi="宋体" w:cs="宋体"/>
                <w:color w:val="000000" w:themeColor="text1"/>
                <w:sz w:val="24"/>
              </w:rPr>
              <w:t>4.1.1压型钢板、冷弯型钢生产工艺流程见图2-4。</w:t>
            </w:r>
          </w:p>
          <w:p>
            <w:pPr>
              <w:jc w:val="center"/>
              <w:rPr>
                <w:rFonts w:ascii="黑体" w:eastAsia="黑体"/>
                <w:color w:val="FF0000"/>
                <w:sz w:val="24"/>
              </w:rPr>
            </w:pPr>
            <w:r>
              <w:rPr>
                <w:rFonts w:hint="eastAsia"/>
                <w:b/>
                <w:color w:val="FF0000"/>
                <w:sz w:val="28"/>
                <w:szCs w:val="28"/>
              </w:rPr>
              <w:drawing>
                <wp:inline distT="0" distB="0" distL="114300" distR="114300">
                  <wp:extent cx="5400040" cy="2181225"/>
                  <wp:effectExtent l="0" t="0" r="10160" b="9525"/>
                  <wp:docPr id="41" name="图片 41" descr="5UVJD24IZE@FC[I@3Z)9%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UVJD24IZE@FC[I@3Z)9%GL"/>
                          <pic:cNvPicPr>
                            <a:picLocks noChangeAspect="1"/>
                          </pic:cNvPicPr>
                        </pic:nvPicPr>
                        <pic:blipFill>
                          <a:blip r:embed="rId37" cstate="print"/>
                          <a:stretch>
                            <a:fillRect/>
                          </a:stretch>
                        </pic:blipFill>
                        <pic:spPr>
                          <a:xfrm>
                            <a:off x="0" y="0"/>
                            <a:ext cx="5400040" cy="2181225"/>
                          </a:xfrm>
                          <a:prstGeom prst="rect">
                            <a:avLst/>
                          </a:prstGeom>
                        </pic:spPr>
                      </pic:pic>
                    </a:graphicData>
                  </a:graphic>
                </wp:inline>
              </w:drawing>
            </w:r>
            <w:r>
              <w:rPr>
                <w:rFonts w:hint="eastAsia" w:ascii="黑体" w:eastAsia="黑体"/>
                <w:color w:val="FF0000"/>
                <w:sz w:val="24"/>
              </w:rPr>
              <w:t xml:space="preserve"> </w:t>
            </w:r>
          </w:p>
          <w:p>
            <w:pPr>
              <w:jc w:val="center"/>
              <w:rPr>
                <w:rFonts w:ascii="黑体" w:eastAsia="黑体"/>
                <w:color w:val="000000" w:themeColor="text1"/>
                <w:sz w:val="24"/>
              </w:rPr>
            </w:pPr>
          </w:p>
          <w:p>
            <w:pPr>
              <w:spacing w:line="360" w:lineRule="auto"/>
              <w:jc w:val="center"/>
              <w:rPr>
                <w:rFonts w:ascii="黑体" w:eastAsia="黑体"/>
                <w:color w:val="000000" w:themeColor="text1"/>
                <w:sz w:val="24"/>
              </w:rPr>
            </w:pPr>
            <w:r>
              <w:rPr>
                <w:rFonts w:hint="eastAsia" w:ascii="黑体" w:eastAsia="黑体"/>
                <w:color w:val="000000" w:themeColor="text1"/>
                <w:sz w:val="24"/>
              </w:rPr>
              <w:t>图2-4生产工艺流程图</w:t>
            </w:r>
          </w:p>
          <w:p>
            <w:pPr>
              <w:spacing w:line="360" w:lineRule="auto"/>
              <w:jc w:val="left"/>
              <w:rPr>
                <w:rFonts w:ascii="宋体" w:hAnsi="宋体" w:cs="宋体"/>
                <w:bCs/>
                <w:color w:val="000000" w:themeColor="text1"/>
                <w:sz w:val="24"/>
              </w:rPr>
            </w:pPr>
            <w:r>
              <w:rPr>
                <w:rFonts w:hint="eastAsia" w:ascii="宋体" w:hAnsi="宋体" w:cs="宋体"/>
                <w:bCs/>
                <w:color w:val="000000" w:themeColor="text1"/>
                <w:sz w:val="24"/>
              </w:rPr>
              <w:t>4.1.2生产工艺流程及产物环节：</w:t>
            </w:r>
          </w:p>
          <w:p>
            <w:pPr>
              <w:spacing w:line="360" w:lineRule="auto"/>
              <w:ind w:firstLine="480" w:firstLineChars="200"/>
              <w:rPr>
                <w:rFonts w:ascii="宋体" w:hAnsi="宋体"/>
                <w:bCs/>
                <w:color w:val="FF0000"/>
                <w:sz w:val="24"/>
              </w:rPr>
            </w:pPr>
            <w:r>
              <w:rPr>
                <w:rFonts w:hint="eastAsia" w:ascii="宋体" w:hAnsi="宋体" w:cs="宋体"/>
                <w:color w:val="FF0000"/>
                <w:sz w:val="24"/>
              </w:rPr>
              <w:t xml:space="preserve"> </w:t>
            </w:r>
            <w:r>
              <w:rPr>
                <w:rFonts w:hint="eastAsia" w:ascii="宋体" w:hAnsi="宋体" w:cs="宋体"/>
                <w:color w:val="000000" w:themeColor="text1"/>
                <w:sz w:val="24"/>
              </w:rPr>
              <w:t>工艺流程：首先对原材料钢板进行检验，剔除不合格原料；将合格原材料带钢放入放卷机；根据客户图纸要求，将钢制板做成所需形状；然后将钢板切断；在钢板外表层涂上油漆；最后检查生产的钢板是否符合标准要求，符合要求的包装入库，不符合的返回重新加工。</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本生产工艺会产生噪声，所有操作均在室内操作；</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本工艺切割过程中会产生钢材边角料，由厂家收集后出售；</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检验包装的过程中会产生包装残留物，由环卫部门统一处理。</w:t>
            </w:r>
          </w:p>
          <w:p>
            <w:pPr>
              <w:snapToGrid w:val="0"/>
              <w:spacing w:line="360" w:lineRule="auto"/>
              <w:rPr>
                <w:rFonts w:ascii="宋体" w:hAnsi="宋体" w:cs="宋体"/>
                <w:color w:val="000000" w:themeColor="text1"/>
                <w:sz w:val="24"/>
              </w:rPr>
            </w:pPr>
            <w:r>
              <w:rPr>
                <w:rFonts w:hint="eastAsia" w:ascii="宋体" w:hAnsi="宋体"/>
                <w:bCs/>
                <w:color w:val="000000" w:themeColor="text1"/>
                <w:sz w:val="24"/>
              </w:rPr>
              <w:t>4.2.1</w:t>
            </w:r>
            <w:r>
              <w:rPr>
                <w:rFonts w:hint="eastAsia" w:ascii="宋体" w:hAnsi="宋体" w:cs="宋体"/>
                <w:color w:val="000000" w:themeColor="text1"/>
                <w:sz w:val="24"/>
              </w:rPr>
              <w:t>钢筋桁架楼承板生产工艺流程见图2-5。</w:t>
            </w:r>
          </w:p>
          <w:p>
            <w:pPr>
              <w:snapToGrid w:val="0"/>
              <w:spacing w:line="360" w:lineRule="auto"/>
              <w:jc w:val="center"/>
              <w:rPr>
                <w:rFonts w:ascii="宋体" w:hAnsi="宋体" w:cs="宋体"/>
                <w:color w:val="000000" w:themeColor="text1"/>
                <w:sz w:val="24"/>
              </w:rPr>
            </w:pPr>
            <w:r>
              <w:rPr>
                <w:rFonts w:hint="eastAsia"/>
                <w:b/>
                <w:color w:val="FF0000"/>
                <w:sz w:val="28"/>
                <w:szCs w:val="28"/>
              </w:rPr>
              <w:drawing>
                <wp:inline distT="0" distB="0" distL="114300" distR="114300">
                  <wp:extent cx="5428615" cy="2457450"/>
                  <wp:effectExtent l="0" t="0" r="635" b="0"/>
                  <wp:docPr id="42" name="图片 42" descr="(2`G$OJY3[@)R4P$QX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G$OJY3[@)R4P$QXT$ZEN"/>
                          <pic:cNvPicPr>
                            <a:picLocks noChangeAspect="1"/>
                          </pic:cNvPicPr>
                        </pic:nvPicPr>
                        <pic:blipFill>
                          <a:blip r:embed="rId38" cstate="print"/>
                          <a:stretch>
                            <a:fillRect/>
                          </a:stretch>
                        </pic:blipFill>
                        <pic:spPr>
                          <a:xfrm>
                            <a:off x="0" y="0"/>
                            <a:ext cx="5428615" cy="2457450"/>
                          </a:xfrm>
                          <a:prstGeom prst="rect">
                            <a:avLst/>
                          </a:prstGeom>
                        </pic:spPr>
                      </pic:pic>
                    </a:graphicData>
                  </a:graphic>
                </wp:inline>
              </w:drawing>
            </w:r>
          </w:p>
          <w:p>
            <w:pPr>
              <w:jc w:val="center"/>
              <w:rPr>
                <w:b/>
                <w:color w:val="FF0000"/>
                <w:sz w:val="28"/>
                <w:szCs w:val="28"/>
              </w:rPr>
            </w:pPr>
            <w:r>
              <w:rPr>
                <w:rFonts w:hint="eastAsia" w:ascii="黑体" w:eastAsia="黑体"/>
                <w:color w:val="000000" w:themeColor="text1"/>
                <w:sz w:val="24"/>
              </w:rPr>
              <w:t>图2-5钢筋桁架楼承板生产工艺流程</w:t>
            </w:r>
          </w:p>
        </w:tc>
      </w:tr>
      <w:bookmarkEnd w:id="50"/>
      <w:bookmarkEnd w:id="51"/>
      <w:bookmarkEnd w:id="52"/>
      <w:bookmarkEnd w:id="53"/>
      <w:bookmarkEnd w:id="54"/>
      <w:bookmarkEnd w:id="55"/>
      <w:bookmarkEnd w:id="56"/>
      <w:bookmarkEnd w:id="57"/>
      <w:bookmarkEnd w:id="58"/>
      <w:bookmarkEnd w:id="59"/>
      <w:bookmarkEnd w:id="60"/>
    </w:tbl>
    <w:p>
      <w:pPr>
        <w:rPr>
          <w:b/>
          <w:color w:val="000000" w:themeColor="text1"/>
          <w:sz w:val="28"/>
          <w:szCs w:val="28"/>
        </w:rPr>
      </w:pPr>
      <w:bookmarkStart w:id="61" w:name="_Toc18966_WPSOffice_Level1"/>
      <w:bookmarkStart w:id="62" w:name="_Toc30627"/>
      <w:bookmarkStart w:id="63" w:name="_Toc6027"/>
      <w:bookmarkStart w:id="64" w:name="_Toc26423"/>
      <w:bookmarkStart w:id="65" w:name="_Toc31055"/>
      <w:bookmarkStart w:id="66" w:name="_Toc17667"/>
      <w:bookmarkStart w:id="67" w:name="_Toc6030"/>
      <w:bookmarkStart w:id="68" w:name="_Toc800"/>
      <w:bookmarkStart w:id="69" w:name="_Toc16922"/>
      <w:bookmarkStart w:id="70" w:name="_Toc12044"/>
      <w:bookmarkStart w:id="71" w:name="_Toc10468"/>
      <w:r>
        <w:rPr>
          <w:rFonts w:hint="eastAsia"/>
          <w:b/>
          <w:color w:val="000000" w:themeColor="text1"/>
          <w:sz w:val="28"/>
          <w:szCs w:val="28"/>
        </w:rPr>
        <w:t>续表二</w:t>
      </w:r>
      <w:bookmarkEnd w:id="61"/>
    </w:p>
    <w:tbl>
      <w:tblPr>
        <w:tblStyle w:val="12"/>
        <w:tblW w:w="9354" w:type="dxa"/>
        <w:jc w:val="center"/>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pacing w:line="360" w:lineRule="auto"/>
              <w:ind w:firstLine="480"/>
              <w:rPr>
                <w:rFonts w:ascii="宋体" w:hAnsi="宋体"/>
                <w:bCs/>
                <w:color w:val="000000" w:themeColor="text1"/>
                <w:sz w:val="24"/>
              </w:rPr>
            </w:pPr>
            <w:r>
              <w:rPr>
                <w:rFonts w:hint="eastAsia" w:ascii="宋体" w:hAnsi="宋体"/>
                <w:bCs/>
                <w:color w:val="000000" w:themeColor="text1"/>
                <w:sz w:val="24"/>
              </w:rPr>
              <w:t>工艺流程：</w:t>
            </w:r>
            <w:r>
              <w:rPr>
                <w:rFonts w:ascii="宋体" w:hAnsi="宋体"/>
                <w:bCs/>
                <w:color w:val="000000" w:themeColor="text1"/>
                <w:sz w:val="24"/>
              </w:rPr>
              <w:t>①</w:t>
            </w:r>
            <w:r>
              <w:rPr>
                <w:rFonts w:hint="eastAsia" w:ascii="宋体" w:hAnsi="宋体"/>
                <w:bCs/>
                <w:color w:val="000000" w:themeColor="text1"/>
                <w:sz w:val="24"/>
              </w:rPr>
              <w:t>将合格镀锌/彩涂钢板放入放卷机；根据客户图纸要求将镀锌/彩涂钢板制作成所需形状；将镀锌/彩涂钢板切断。</w:t>
            </w:r>
            <w:r>
              <w:rPr>
                <w:rFonts w:ascii="宋体" w:hAnsi="宋体"/>
                <w:bCs/>
                <w:color w:val="000000" w:themeColor="text1"/>
                <w:sz w:val="24"/>
              </w:rPr>
              <w:t>②</w:t>
            </w:r>
            <w:r>
              <w:rPr>
                <w:rFonts w:hint="eastAsia" w:ascii="宋体" w:hAnsi="宋体"/>
                <w:bCs/>
                <w:color w:val="000000" w:themeColor="text1"/>
                <w:sz w:val="24"/>
              </w:rPr>
              <w:t>将螺纹钢放入高强压型钢板机组绞直；将螺纹钢切断；将绞直的螺纹钢焊接成三脚架。</w:t>
            </w:r>
            <w:r>
              <w:rPr>
                <w:rFonts w:ascii="宋体" w:hAnsi="宋体"/>
                <w:bCs/>
                <w:color w:val="000000" w:themeColor="text1"/>
                <w:sz w:val="24"/>
              </w:rPr>
              <w:t>③</w:t>
            </w:r>
            <w:r>
              <w:rPr>
                <w:rFonts w:hint="eastAsia" w:ascii="宋体" w:hAnsi="宋体"/>
                <w:bCs/>
                <w:color w:val="000000" w:themeColor="text1"/>
                <w:sz w:val="24"/>
              </w:rPr>
              <w:t>将焊接好的三脚架镀锌/彩涂钢板底板焊接成整体。</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本生产工艺会产生噪声，所有操作均在室内操作；</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本工艺切割过程中会产生板材边角料、钢材边角料及粉尘，板材边角料、钢材边角料由厂家收集后出售，粉尘由排风扇减少污染；</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焊接过程中会产生废焊条及粉尘，废焊条由厂家收集后出售，粉尘经排风扇排出；</w:t>
            </w:r>
          </w:p>
          <w:p>
            <w:pPr>
              <w:spacing w:line="360" w:lineRule="auto"/>
              <w:ind w:firstLine="480" w:firstLineChars="200"/>
              <w:rPr>
                <w:rFonts w:ascii="宋体" w:hAnsi="宋体" w:cs="宋体"/>
                <w:b/>
                <w:color w:val="000000" w:themeColor="text1"/>
                <w:sz w:val="24"/>
              </w:rPr>
            </w:pPr>
            <w:r>
              <w:rPr>
                <w:rFonts w:hint="eastAsia" w:ascii="宋体" w:hAnsi="宋体"/>
                <w:bCs/>
                <w:color w:val="000000" w:themeColor="text1"/>
                <w:sz w:val="24"/>
              </w:rPr>
              <w:t>钢筋桁架楼承板工序会产生烟尘、废焊条及包装废弃物，烟尘经排风扇排出、废焊条由厂家收集后出售、包装废弃物由环卫部门统一处理。</w:t>
            </w:r>
          </w:p>
          <w:p>
            <w:pPr>
              <w:spacing w:line="360" w:lineRule="auto"/>
              <w:jc w:val="left"/>
              <w:rPr>
                <w:rFonts w:ascii="宋体" w:hAnsi="宋体" w:cs="宋体"/>
                <w:b/>
                <w:color w:val="000000" w:themeColor="text1"/>
                <w:sz w:val="24"/>
              </w:rPr>
            </w:pPr>
            <w:r>
              <w:rPr>
                <w:rFonts w:hint="eastAsia" w:ascii="宋体" w:hAnsi="宋体" w:cs="宋体"/>
                <w:b/>
                <w:color w:val="000000" w:themeColor="text1"/>
                <w:sz w:val="24"/>
              </w:rPr>
              <w:t>5、项目变动情况</w:t>
            </w:r>
          </w:p>
          <w:p>
            <w:pPr>
              <w:spacing w:line="360" w:lineRule="auto"/>
              <w:ind w:firstLine="480" w:firstLineChars="200"/>
              <w:rPr>
                <w:rFonts w:ascii="宋体" w:hAnsi="宋体" w:cs="宋体"/>
                <w:color w:val="auto"/>
                <w:sz w:val="24"/>
              </w:rPr>
            </w:pPr>
            <w:r>
              <w:rPr>
                <w:rFonts w:hint="eastAsia" w:ascii="宋体" w:hAnsi="宋体" w:cs="宋体"/>
                <w:color w:val="auto"/>
                <w:sz w:val="24"/>
              </w:rPr>
              <w:t>经现场调查和与建设单位核实，该项目不存在变动。</w:t>
            </w:r>
          </w:p>
          <w:p>
            <w:pPr>
              <w:spacing w:line="360" w:lineRule="auto"/>
              <w:jc w:val="left"/>
              <w:rPr>
                <w:rFonts w:ascii="宋体" w:hAnsi="宋体" w:cs="宋体"/>
                <w:b/>
                <w:color w:val="000000" w:themeColor="text1"/>
                <w:sz w:val="24"/>
              </w:rPr>
            </w:pPr>
            <w:r>
              <w:rPr>
                <w:rFonts w:hint="eastAsia" w:ascii="宋体" w:hAnsi="宋体" w:cs="宋体"/>
                <w:b/>
                <w:color w:val="000000" w:themeColor="text1"/>
                <w:sz w:val="24"/>
              </w:rPr>
              <w:t>6、验收范围</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本次验收范围</w:t>
            </w:r>
            <w:r>
              <w:rPr>
                <w:rFonts w:hint="eastAsia" w:ascii="宋体" w:hAnsi="宋体"/>
                <w:bCs/>
                <w:color w:val="000000" w:themeColor="text1"/>
                <w:sz w:val="24"/>
                <w:lang w:eastAsia="zh-CN"/>
              </w:rPr>
              <w:t>为</w:t>
            </w:r>
            <w:r>
              <w:rPr>
                <w:rFonts w:hint="eastAsia" w:ascii="宋体" w:hAnsi="宋体"/>
                <w:bCs/>
                <w:color w:val="000000" w:themeColor="text1"/>
                <w:sz w:val="24"/>
              </w:rPr>
              <w:t>钢筋桁架楼承板</w:t>
            </w:r>
            <w:r>
              <w:rPr>
                <w:rFonts w:hint="eastAsia" w:ascii="宋体" w:hAnsi="宋体"/>
                <w:bCs/>
                <w:color w:val="000000" w:themeColor="text1"/>
                <w:sz w:val="24"/>
                <w:lang w:eastAsia="zh-CN"/>
              </w:rPr>
              <w:t>、</w:t>
            </w:r>
            <w:r>
              <w:rPr>
                <w:rFonts w:hint="eastAsia" w:ascii="宋体" w:hAnsi="宋体"/>
                <w:bCs/>
                <w:color w:val="000000" w:themeColor="text1"/>
                <w:sz w:val="24"/>
              </w:rPr>
              <w:t>压型钢板</w:t>
            </w:r>
            <w:r>
              <w:rPr>
                <w:rFonts w:hint="eastAsia" w:ascii="宋体" w:hAnsi="宋体"/>
                <w:bCs/>
                <w:color w:val="000000" w:themeColor="text1"/>
                <w:sz w:val="24"/>
                <w:lang w:eastAsia="zh-CN"/>
              </w:rPr>
              <w:t>、</w:t>
            </w:r>
            <w:r>
              <w:rPr>
                <w:rFonts w:hint="eastAsia" w:ascii="宋体" w:hAnsi="宋体"/>
                <w:bCs/>
                <w:color w:val="000000" w:themeColor="text1"/>
                <w:sz w:val="24"/>
              </w:rPr>
              <w:t>冷弯型钢及配套设施。</w:t>
            </w:r>
          </w:p>
          <w:p>
            <w:pPr>
              <w:snapToGrid w:val="0"/>
              <w:spacing w:line="360" w:lineRule="auto"/>
              <w:ind w:firstLine="480" w:firstLineChars="200"/>
              <w:rPr>
                <w:rFonts w:ascii="宋体" w:hAnsi="宋体" w:cs="宋体"/>
                <w:color w:val="FF0000"/>
                <w:sz w:val="24"/>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p>
        </w:tc>
      </w:tr>
    </w:tbl>
    <w:p>
      <w:pPr>
        <w:outlineLvl w:val="0"/>
        <w:rPr>
          <w:b/>
          <w:color w:val="000000" w:themeColor="text1"/>
          <w:sz w:val="28"/>
          <w:szCs w:val="28"/>
        </w:rPr>
      </w:pPr>
      <w:bookmarkStart w:id="72" w:name="_Toc31738_WPSOffice_Level1"/>
      <w:r>
        <w:rPr>
          <w:rFonts w:hint="eastAsia"/>
          <w:b/>
          <w:color w:val="000000" w:themeColor="text1"/>
          <w:sz w:val="28"/>
          <w:szCs w:val="28"/>
        </w:rPr>
        <w:t>表三 环境保护设施</w:t>
      </w:r>
      <w:bookmarkEnd w:id="62"/>
      <w:bookmarkEnd w:id="63"/>
      <w:bookmarkEnd w:id="64"/>
      <w:bookmarkEnd w:id="65"/>
      <w:bookmarkEnd w:id="66"/>
      <w:bookmarkEnd w:id="67"/>
      <w:bookmarkEnd w:id="68"/>
      <w:bookmarkEnd w:id="69"/>
      <w:bookmarkEnd w:id="70"/>
      <w:bookmarkEnd w:id="71"/>
      <w:bookmarkEnd w:id="72"/>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pacing w:line="336" w:lineRule="auto"/>
              <w:rPr>
                <w:rFonts w:ascii="宋体" w:hAnsi="宋体" w:cs="宋体"/>
                <w:b/>
                <w:bCs/>
                <w:color w:val="000000" w:themeColor="text1"/>
                <w:sz w:val="24"/>
              </w:rPr>
            </w:pPr>
            <w:bookmarkStart w:id="73" w:name="_Toc514"/>
            <w:bookmarkStart w:id="74" w:name="_Toc25573"/>
            <w:bookmarkStart w:id="75" w:name="_Toc7540"/>
            <w:bookmarkStart w:id="76" w:name="_Toc21019"/>
            <w:bookmarkStart w:id="77" w:name="_Toc17291"/>
            <w:bookmarkStart w:id="78" w:name="_Toc6806"/>
            <w:bookmarkStart w:id="79" w:name="_Toc9912"/>
            <w:bookmarkStart w:id="80" w:name="_Toc22173"/>
            <w:bookmarkStart w:id="81" w:name="_Toc5187"/>
            <w:bookmarkStart w:id="82" w:name="_Toc28354"/>
            <w:bookmarkStart w:id="83" w:name="_Toc30518"/>
            <w:bookmarkStart w:id="84" w:name="_Toc13765_WPSOffice_Level1"/>
            <w:r>
              <w:rPr>
                <w:rFonts w:hint="eastAsia" w:ascii="宋体" w:hAnsi="宋体" w:cs="宋体"/>
                <w:b/>
                <w:bCs/>
                <w:color w:val="000000" w:themeColor="text1"/>
                <w:sz w:val="24"/>
              </w:rPr>
              <w:t>一、污染物治理设施</w:t>
            </w:r>
          </w:p>
          <w:p>
            <w:pPr>
              <w:tabs>
                <w:tab w:val="left" w:pos="600"/>
              </w:tabs>
              <w:spacing w:line="336" w:lineRule="auto"/>
              <w:rPr>
                <w:rFonts w:ascii="宋体" w:hAnsi="宋体" w:cs="宋体"/>
                <w:b/>
                <w:bCs/>
                <w:color w:val="000000" w:themeColor="text1"/>
                <w:sz w:val="24"/>
              </w:rPr>
            </w:pPr>
            <w:r>
              <w:rPr>
                <w:rFonts w:hint="eastAsia" w:ascii="宋体" w:hAnsi="宋体" w:cs="宋体"/>
                <w:b/>
                <w:bCs/>
                <w:color w:val="000000" w:themeColor="text1"/>
                <w:sz w:val="24"/>
              </w:rPr>
              <w:t>1、废水</w:t>
            </w:r>
          </w:p>
          <w:p>
            <w:pPr>
              <w:spacing w:line="360" w:lineRule="auto"/>
              <w:ind w:firstLine="480" w:firstLineChars="200"/>
              <w:rPr>
                <w:color w:val="000000" w:themeColor="text1"/>
                <w:szCs w:val="21"/>
              </w:rPr>
            </w:pPr>
            <w:r>
              <w:rPr>
                <w:rFonts w:hint="eastAsia" w:ascii="宋体" w:hAnsi="宋体"/>
                <w:color w:val="000000" w:themeColor="text1"/>
                <w:sz w:val="24"/>
                <w:szCs w:val="22"/>
              </w:rPr>
              <w:t>本项目实施雨污分流，设雨污水排口各1个，雨水排入六合经济开发区雨水管网。本项目</w:t>
            </w:r>
            <w:r>
              <w:rPr>
                <w:rFonts w:hint="eastAsia" w:ascii="宋体" w:hAnsi="宋体" w:cs="宋体"/>
                <w:color w:val="000000" w:themeColor="text1"/>
                <w:sz w:val="24"/>
              </w:rPr>
              <w:t>废水为职工生活污水和食堂废水，食堂废水经隔油隔渣池与生活污水一并接入经济开发区污水管网。废水主要污染因子为化学需氧量</w:t>
            </w:r>
            <w:r>
              <w:rPr>
                <w:rFonts w:hint="eastAsia" w:ascii="宋体" w:hAnsi="宋体"/>
                <w:color w:val="000000" w:themeColor="text1"/>
                <w:sz w:val="24"/>
              </w:rPr>
              <w:t>（</w:t>
            </w:r>
            <w:r>
              <w:rPr>
                <w:rFonts w:ascii="宋体" w:hAnsi="宋体"/>
                <w:color w:val="000000" w:themeColor="text1"/>
                <w:sz w:val="24"/>
              </w:rPr>
              <w:t>COD</w:t>
            </w:r>
            <w:r>
              <w:rPr>
                <w:rFonts w:hint="eastAsia" w:ascii="宋体" w:hAnsi="宋体"/>
                <w:color w:val="000000" w:themeColor="text1"/>
                <w:sz w:val="24"/>
                <w:vertAlign w:val="subscript"/>
              </w:rPr>
              <w:t>C</w:t>
            </w:r>
            <w:r>
              <w:rPr>
                <w:rFonts w:ascii="宋体" w:hAnsi="宋体"/>
                <w:color w:val="000000" w:themeColor="text1"/>
                <w:sz w:val="24"/>
                <w:vertAlign w:val="subscript"/>
              </w:rPr>
              <w:t>r</w:t>
            </w:r>
            <w:r>
              <w:rPr>
                <w:rFonts w:hint="eastAsia" w:ascii="宋体" w:hAnsi="宋体"/>
                <w:color w:val="000000" w:themeColor="text1"/>
                <w:sz w:val="24"/>
              </w:rPr>
              <w:t>）</w:t>
            </w:r>
            <w:r>
              <w:rPr>
                <w:rFonts w:hint="eastAsia" w:ascii="宋体" w:hAnsi="宋体" w:cs="宋体"/>
                <w:color w:val="000000" w:themeColor="text1"/>
                <w:sz w:val="24"/>
              </w:rPr>
              <w:t>、悬浮物（SS）、氨氮和总磷（TP）。</w:t>
            </w:r>
            <w:r>
              <w:rPr>
                <w:rFonts w:hint="eastAsia"/>
                <w:color w:val="000000" w:themeColor="text1"/>
                <w:szCs w:val="21"/>
              </w:rPr>
              <w:t xml:space="preserve">                                     </w:t>
            </w:r>
          </w:p>
          <w:p>
            <w:pPr>
              <w:tabs>
                <w:tab w:val="left" w:pos="600"/>
              </w:tabs>
              <w:spacing w:line="336" w:lineRule="auto"/>
              <w:rPr>
                <w:rFonts w:ascii="宋体" w:hAnsi="宋体" w:cs="宋体"/>
                <w:b/>
                <w:bCs/>
                <w:color w:val="000000" w:themeColor="text1"/>
                <w:sz w:val="24"/>
              </w:rPr>
            </w:pPr>
            <w:r>
              <w:rPr>
                <w:rFonts w:hint="eastAsia" w:ascii="宋体" w:hAnsi="宋体" w:cs="宋体"/>
                <w:b/>
                <w:bCs/>
                <w:color w:val="000000" w:themeColor="text1"/>
                <w:sz w:val="24"/>
              </w:rPr>
              <w:t>2、废气</w:t>
            </w:r>
          </w:p>
          <w:p>
            <w:pPr>
              <w:spacing w:line="336" w:lineRule="auto"/>
              <w:ind w:firstLine="480" w:firstLineChars="200"/>
              <w:jc w:val="left"/>
              <w:rPr>
                <w:rFonts w:ascii="宋体" w:hAnsi="宋体"/>
                <w:color w:val="000000" w:themeColor="text1"/>
                <w:sz w:val="24"/>
                <w:szCs w:val="22"/>
              </w:rPr>
            </w:pPr>
            <w:r>
              <w:rPr>
                <w:rFonts w:hint="eastAsia" w:ascii="宋体" w:hAnsi="宋体"/>
                <w:color w:val="000000" w:themeColor="text1"/>
                <w:sz w:val="24"/>
                <w:szCs w:val="22"/>
              </w:rPr>
              <w:t>本项目废气主要是</w:t>
            </w:r>
            <w:r>
              <w:rPr>
                <w:rFonts w:hint="eastAsia" w:ascii="宋体" w:hAnsi="宋体" w:cs="宋体"/>
                <w:color w:val="000000" w:themeColor="text1"/>
                <w:sz w:val="24"/>
              </w:rPr>
              <w:t>焊接烟尘</w:t>
            </w:r>
            <w:r>
              <w:rPr>
                <w:rFonts w:hint="eastAsia" w:ascii="宋体" w:hAnsi="宋体"/>
                <w:color w:val="000000" w:themeColor="text1"/>
                <w:sz w:val="24"/>
                <w:szCs w:val="22"/>
              </w:rPr>
              <w:t>、</w:t>
            </w:r>
            <w:r>
              <w:rPr>
                <w:rFonts w:hint="eastAsia" w:ascii="宋体" w:hAnsi="宋体" w:cs="宋体"/>
                <w:color w:val="000000" w:themeColor="text1"/>
                <w:sz w:val="24"/>
              </w:rPr>
              <w:t>切割金属粉尘、油烟</w:t>
            </w:r>
            <w:r>
              <w:rPr>
                <w:rFonts w:hint="eastAsia" w:ascii="宋体" w:hAnsi="宋体"/>
                <w:color w:val="000000" w:themeColor="text1"/>
                <w:sz w:val="24"/>
                <w:szCs w:val="22"/>
              </w:rPr>
              <w:t>。</w:t>
            </w:r>
          </w:p>
          <w:p>
            <w:pPr>
              <w:spacing w:line="336" w:lineRule="auto"/>
              <w:ind w:firstLine="480" w:firstLineChars="200"/>
              <w:jc w:val="left"/>
              <w:rPr>
                <w:rFonts w:ascii="宋体" w:hAnsi="宋体"/>
                <w:color w:val="000000" w:themeColor="text1"/>
                <w:sz w:val="24"/>
                <w:szCs w:val="22"/>
              </w:rPr>
            </w:pPr>
            <w:r>
              <w:rPr>
                <w:rFonts w:hint="eastAsia" w:ascii="宋体" w:hAnsi="宋体"/>
                <w:color w:val="000000" w:themeColor="text1"/>
                <w:sz w:val="24"/>
                <w:szCs w:val="22"/>
              </w:rPr>
              <w:t>（</w:t>
            </w:r>
            <w:r>
              <w:rPr>
                <w:rFonts w:ascii="宋体" w:hAnsi="宋体"/>
                <w:color w:val="000000" w:themeColor="text1"/>
                <w:sz w:val="24"/>
                <w:szCs w:val="22"/>
              </w:rPr>
              <w:t>1</w:t>
            </w:r>
            <w:r>
              <w:rPr>
                <w:rFonts w:hint="eastAsia" w:ascii="宋体" w:hAnsi="宋体"/>
                <w:color w:val="000000" w:themeColor="text1"/>
                <w:sz w:val="24"/>
                <w:szCs w:val="22"/>
              </w:rPr>
              <w:t>）焊接烟尘</w:t>
            </w:r>
          </w:p>
          <w:p>
            <w:pPr>
              <w:spacing w:line="336" w:lineRule="auto"/>
              <w:ind w:firstLine="480" w:firstLineChars="200"/>
              <w:jc w:val="left"/>
              <w:rPr>
                <w:rFonts w:ascii="宋体" w:hAnsi="宋体"/>
                <w:color w:val="000000" w:themeColor="text1"/>
                <w:sz w:val="24"/>
                <w:szCs w:val="22"/>
              </w:rPr>
            </w:pPr>
            <w:r>
              <w:rPr>
                <w:rFonts w:hint="eastAsia" w:ascii="宋体" w:hAnsi="宋体"/>
                <w:color w:val="000000" w:themeColor="text1"/>
                <w:sz w:val="24"/>
                <w:szCs w:val="22"/>
              </w:rPr>
              <w:t>通过安装排风扇，加强车间通风等措施，减少焊接烟尘无组织排放。</w:t>
            </w:r>
          </w:p>
          <w:p>
            <w:pPr>
              <w:spacing w:line="336" w:lineRule="auto"/>
              <w:ind w:firstLine="480" w:firstLineChars="200"/>
              <w:jc w:val="left"/>
              <w:rPr>
                <w:rFonts w:ascii="宋体" w:hAnsi="宋体"/>
                <w:color w:val="000000" w:themeColor="text1"/>
                <w:sz w:val="24"/>
                <w:szCs w:val="22"/>
              </w:rPr>
            </w:pPr>
            <w:r>
              <w:rPr>
                <w:rFonts w:hint="eastAsia" w:ascii="宋体" w:hAnsi="宋体"/>
                <w:color w:val="000000" w:themeColor="text1"/>
                <w:sz w:val="24"/>
                <w:szCs w:val="22"/>
              </w:rPr>
              <w:t>（</w:t>
            </w:r>
            <w:r>
              <w:rPr>
                <w:rFonts w:ascii="宋体" w:hAnsi="宋体"/>
                <w:color w:val="000000" w:themeColor="text1"/>
                <w:sz w:val="24"/>
                <w:szCs w:val="22"/>
              </w:rPr>
              <w:t>2</w:t>
            </w:r>
            <w:r>
              <w:rPr>
                <w:rFonts w:hint="eastAsia" w:ascii="宋体" w:hAnsi="宋体"/>
                <w:color w:val="000000" w:themeColor="text1"/>
                <w:sz w:val="24"/>
                <w:szCs w:val="22"/>
              </w:rPr>
              <w:t>）</w:t>
            </w:r>
            <w:r>
              <w:rPr>
                <w:rFonts w:hint="eastAsia" w:ascii="宋体" w:hAnsi="宋体" w:cs="宋体"/>
                <w:color w:val="000000" w:themeColor="text1"/>
                <w:sz w:val="24"/>
              </w:rPr>
              <w:t>切割金属粉尘</w:t>
            </w:r>
          </w:p>
          <w:p>
            <w:pPr>
              <w:spacing w:line="336" w:lineRule="auto"/>
              <w:ind w:firstLine="480" w:firstLineChars="200"/>
              <w:jc w:val="left"/>
              <w:rPr>
                <w:rFonts w:hint="eastAsia" w:ascii="宋体" w:hAnsi="宋体"/>
                <w:color w:val="000000" w:themeColor="text1"/>
                <w:sz w:val="24"/>
                <w:szCs w:val="22"/>
              </w:rPr>
            </w:pPr>
            <w:r>
              <w:rPr>
                <w:rFonts w:hint="eastAsia" w:ascii="宋体" w:hAnsi="宋体"/>
                <w:color w:val="000000" w:themeColor="text1"/>
                <w:sz w:val="24"/>
                <w:szCs w:val="22"/>
              </w:rPr>
              <w:t>自然沉降后及时清扫。</w:t>
            </w:r>
          </w:p>
          <w:p>
            <w:pPr>
              <w:numPr>
                <w:ilvl w:val="0"/>
                <w:numId w:val="0"/>
              </w:numPr>
              <w:spacing w:line="336" w:lineRule="auto"/>
              <w:ind w:firstLine="480" w:firstLineChars="200"/>
              <w:jc w:val="left"/>
              <w:rPr>
                <w:rFonts w:ascii="宋体" w:hAnsi="宋体"/>
                <w:color w:val="000000" w:themeColor="text1"/>
                <w:sz w:val="24"/>
                <w:szCs w:val="22"/>
              </w:rPr>
            </w:pPr>
            <w:r>
              <w:rPr>
                <w:rFonts w:hint="eastAsia" w:ascii="宋体" w:hAnsi="宋体"/>
                <w:color w:val="000000" w:themeColor="text1"/>
                <w:sz w:val="24"/>
                <w:szCs w:val="22"/>
                <w:lang w:eastAsia="zh-CN"/>
              </w:rPr>
              <w:t>（</w:t>
            </w:r>
            <w:r>
              <w:rPr>
                <w:rFonts w:hint="eastAsia" w:ascii="宋体" w:hAnsi="宋体"/>
                <w:color w:val="000000" w:themeColor="text1"/>
                <w:sz w:val="24"/>
                <w:szCs w:val="22"/>
                <w:lang w:val="en-US" w:eastAsia="zh-CN"/>
              </w:rPr>
              <w:t>3</w:t>
            </w:r>
            <w:r>
              <w:rPr>
                <w:rFonts w:hint="eastAsia" w:ascii="宋体" w:hAnsi="宋体"/>
                <w:color w:val="000000" w:themeColor="text1"/>
                <w:sz w:val="24"/>
                <w:szCs w:val="22"/>
                <w:lang w:eastAsia="zh-CN"/>
              </w:rPr>
              <w:t>）</w:t>
            </w:r>
            <w:r>
              <w:rPr>
                <w:rFonts w:hint="eastAsia" w:ascii="宋体" w:hAnsi="宋体"/>
                <w:color w:val="000000" w:themeColor="text1"/>
                <w:sz w:val="24"/>
                <w:szCs w:val="22"/>
              </w:rPr>
              <w:t>油烟</w:t>
            </w:r>
          </w:p>
          <w:p>
            <w:pPr>
              <w:spacing w:line="336" w:lineRule="auto"/>
              <w:jc w:val="left"/>
              <w:rPr>
                <w:rFonts w:ascii="宋体" w:hAnsi="宋体"/>
                <w:color w:val="000000" w:themeColor="text1"/>
                <w:sz w:val="24"/>
                <w:szCs w:val="22"/>
              </w:rPr>
            </w:pPr>
            <w:r>
              <w:rPr>
                <w:rFonts w:hint="eastAsia" w:ascii="宋体" w:hAnsi="宋体"/>
                <w:color w:val="000000" w:themeColor="text1"/>
                <w:sz w:val="24"/>
                <w:szCs w:val="22"/>
              </w:rPr>
              <w:t xml:space="preserve">   </w:t>
            </w:r>
            <w:r>
              <w:rPr>
                <w:rFonts w:hint="eastAsia" w:ascii="宋体" w:hAnsi="宋体"/>
                <w:color w:val="000000" w:themeColor="text1"/>
                <w:sz w:val="24"/>
                <w:szCs w:val="22"/>
                <w:lang w:val="en-US" w:eastAsia="zh-CN"/>
              </w:rPr>
              <w:t xml:space="preserve"> </w:t>
            </w:r>
            <w:r>
              <w:rPr>
                <w:rFonts w:hint="eastAsia" w:ascii="宋体" w:hAnsi="宋体"/>
                <w:color w:val="000000" w:themeColor="text1"/>
                <w:sz w:val="24"/>
                <w:szCs w:val="22"/>
              </w:rPr>
              <w:t>通过安装油烟净化装置处理后，经排气筒排放。</w:t>
            </w:r>
          </w:p>
          <w:p>
            <w:pPr>
              <w:spacing w:line="360" w:lineRule="auto"/>
              <w:rPr>
                <w:rFonts w:ascii="宋体" w:hAnsi="宋体" w:cs="宋体"/>
                <w:b/>
                <w:bCs/>
                <w:color w:val="000000" w:themeColor="text1"/>
                <w:sz w:val="24"/>
              </w:rPr>
            </w:pPr>
            <w:r>
              <w:rPr>
                <w:rFonts w:hint="eastAsia" w:ascii="宋体" w:hAnsi="宋体"/>
                <w:color w:val="000000" w:themeColor="text1"/>
                <w:sz w:val="24"/>
                <w:szCs w:val="22"/>
              </w:rPr>
              <w:t xml:space="preserve">   </w:t>
            </w:r>
            <w:r>
              <w:rPr>
                <w:rFonts w:hint="eastAsia" w:ascii="宋体" w:hAnsi="宋体" w:cs="宋体"/>
                <w:b/>
                <w:bCs/>
                <w:color w:val="000000" w:themeColor="text1"/>
                <w:sz w:val="24"/>
              </w:rPr>
              <w:t>3、噪声</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本项目</w:t>
            </w:r>
            <w:r>
              <w:rPr>
                <w:rFonts w:hint="eastAsia" w:ascii="宋体" w:hAnsi="宋体" w:cs="宋体"/>
                <w:color w:val="000000" w:themeColor="text1"/>
                <w:kern w:val="0"/>
                <w:position w:val="-3"/>
                <w:sz w:val="24"/>
              </w:rPr>
              <w:t>噪声主要来源于高强压型钢板机组、数控折弯机、自动剪板机等</w:t>
            </w:r>
            <w:r>
              <w:rPr>
                <w:rFonts w:hint="eastAsia" w:ascii="宋体" w:hAnsi="宋体" w:cs="宋体"/>
                <w:color w:val="000000" w:themeColor="text1"/>
                <w:kern w:val="0"/>
                <w:sz w:val="24"/>
              </w:rPr>
              <w:t>，</w:t>
            </w:r>
            <w:r>
              <w:rPr>
                <w:rFonts w:hint="eastAsia" w:ascii="宋体" w:hAnsi="宋体" w:cs="宋体"/>
                <w:color w:val="000000" w:themeColor="text1"/>
                <w:sz w:val="24"/>
              </w:rPr>
              <w:t>项目夜间不生产，通过选用低噪声设备、</w:t>
            </w:r>
            <w:r>
              <w:rPr>
                <w:rFonts w:hint="eastAsia" w:ascii="宋体" w:hAnsi="宋体" w:cs="宋体"/>
                <w:color w:val="000000" w:themeColor="text1"/>
                <w:kern w:val="0"/>
                <w:sz w:val="24"/>
              </w:rPr>
              <w:t>减震隔声等</w:t>
            </w:r>
            <w:r>
              <w:rPr>
                <w:rFonts w:hint="eastAsia" w:ascii="宋体" w:hAnsi="宋体" w:cs="宋体"/>
                <w:color w:val="000000" w:themeColor="text1"/>
                <w:sz w:val="24"/>
              </w:rPr>
              <w:t>措施降噪。</w:t>
            </w:r>
          </w:p>
          <w:p>
            <w:pPr>
              <w:spacing w:line="360" w:lineRule="auto"/>
              <w:ind w:firstLine="240" w:firstLineChars="100"/>
              <w:jc w:val="left"/>
              <w:rPr>
                <w:rFonts w:ascii="宋体" w:hAnsi="宋体" w:cs="宋体"/>
                <w:color w:val="000000" w:themeColor="text1"/>
                <w:sz w:val="24"/>
              </w:rPr>
            </w:pPr>
            <w:r>
              <w:rPr>
                <w:rFonts w:hint="eastAsia" w:ascii="宋体" w:hAnsi="宋体"/>
                <w:color w:val="000000" w:themeColor="text1"/>
                <w:sz w:val="24"/>
              </w:rPr>
              <w:t xml:space="preserve"> 项目位于南京市六合经济开发区新港湾路以东、云海玻璃以西，夜间不生产，周边无环境敏感目标。</w:t>
            </w:r>
          </w:p>
          <w:p>
            <w:pPr>
              <w:spacing w:line="360" w:lineRule="auto"/>
              <w:jc w:val="left"/>
              <w:rPr>
                <w:rFonts w:ascii="宋体" w:hAnsi="宋体" w:cs="宋体"/>
                <w:color w:val="000000" w:themeColor="text1"/>
                <w:sz w:val="24"/>
              </w:rPr>
            </w:pPr>
            <w:r>
              <w:rPr>
                <w:rFonts w:hint="eastAsia" w:ascii="宋体" w:hAnsi="宋体" w:cs="宋体"/>
                <w:b/>
                <w:bCs/>
                <w:color w:val="000000" w:themeColor="text1"/>
                <w:sz w:val="24"/>
              </w:rPr>
              <w:t>4、固体废弃物</w:t>
            </w:r>
            <w:r>
              <w:rPr>
                <w:rFonts w:hint="eastAsia" w:ascii="宋体" w:hAnsi="宋体" w:cs="宋体"/>
                <w:bCs/>
                <w:color w:val="000000" w:themeColor="text1"/>
                <w:sz w:val="24"/>
              </w:rPr>
              <w:t xml:space="preserve"> </w:t>
            </w:r>
            <w:r>
              <w:rPr>
                <w:rFonts w:hint="eastAsia" w:ascii="宋体" w:hAnsi="宋体" w:cs="宋体"/>
                <w:color w:val="000000" w:themeColor="text1"/>
                <w:sz w:val="24"/>
              </w:rPr>
              <w:t xml:space="preserve"> </w:t>
            </w:r>
          </w:p>
          <w:p>
            <w:pPr>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（1）板材边角料：</w:t>
            </w:r>
            <w:r>
              <w:rPr>
                <w:rFonts w:hint="eastAsia" w:ascii="宋体" w:hAnsi="宋体"/>
                <w:bCs/>
                <w:color w:val="000000" w:themeColor="text1"/>
                <w:sz w:val="24"/>
              </w:rPr>
              <w:t>板材边角料环评量为</w:t>
            </w:r>
            <w:r>
              <w:rPr>
                <w:rFonts w:hint="eastAsia" w:ascii="宋体" w:hAnsi="宋体" w:cs="宋体"/>
                <w:color w:val="000000" w:themeColor="text1"/>
                <w:sz w:val="24"/>
              </w:rPr>
              <w:t>0.17t/a，厂家收集后出售</w:t>
            </w:r>
            <w:r>
              <w:rPr>
                <w:rFonts w:hint="eastAsia" w:ascii="宋体" w:hAnsi="宋体"/>
                <w:color w:val="000000" w:themeColor="text1"/>
                <w:sz w:val="24"/>
              </w:rPr>
              <w:t>；</w:t>
            </w:r>
          </w:p>
          <w:p>
            <w:pPr>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（2）钢材边角料：环评产生量为 0.09t/a，</w:t>
            </w:r>
            <w:r>
              <w:rPr>
                <w:rFonts w:hint="eastAsia" w:ascii="宋体" w:hAnsi="宋体" w:cs="宋体"/>
                <w:color w:val="000000" w:themeColor="text1"/>
                <w:sz w:val="24"/>
              </w:rPr>
              <w:t>厂家收集后出售</w:t>
            </w:r>
            <w:r>
              <w:rPr>
                <w:rFonts w:hint="eastAsia" w:ascii="宋体" w:hAnsi="宋体"/>
                <w:color w:val="000000" w:themeColor="text1"/>
                <w:sz w:val="24"/>
              </w:rPr>
              <w:t>；</w:t>
            </w:r>
          </w:p>
          <w:p>
            <w:pPr>
              <w:spacing w:line="360" w:lineRule="auto"/>
              <w:ind w:firstLine="480" w:firstLineChars="200"/>
              <w:jc w:val="left"/>
              <w:rPr>
                <w:rFonts w:ascii="宋体" w:hAnsi="宋体" w:cs="宋体"/>
                <w:color w:val="000000" w:themeColor="text1"/>
                <w:sz w:val="24"/>
              </w:rPr>
            </w:pPr>
            <w:r>
              <w:rPr>
                <w:rFonts w:hint="eastAsia" w:ascii="宋体" w:hAnsi="宋体"/>
                <w:color w:val="000000" w:themeColor="text1"/>
                <w:sz w:val="24"/>
              </w:rPr>
              <w:t>（3）废焊条：环评产生量为 0.05t/a，</w:t>
            </w:r>
            <w:r>
              <w:rPr>
                <w:rFonts w:hint="eastAsia" w:ascii="宋体" w:hAnsi="宋体" w:cs="宋体"/>
                <w:color w:val="000000" w:themeColor="text1"/>
                <w:sz w:val="24"/>
              </w:rPr>
              <w:t>厂家收集后出售；</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（4）铁粉：</w:t>
            </w:r>
            <w:r>
              <w:rPr>
                <w:rFonts w:hint="eastAsia" w:ascii="宋体" w:hAnsi="宋体"/>
                <w:color w:val="000000" w:themeColor="text1"/>
                <w:sz w:val="24"/>
              </w:rPr>
              <w:t>环评产生量为 0.45t/a，</w:t>
            </w:r>
            <w:r>
              <w:rPr>
                <w:rFonts w:hint="eastAsia" w:ascii="宋体" w:hAnsi="宋体" w:cs="宋体"/>
                <w:color w:val="000000" w:themeColor="text1"/>
                <w:sz w:val="24"/>
              </w:rPr>
              <w:t>厂家收集后出售；</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（5）包装废弃物：</w:t>
            </w:r>
            <w:r>
              <w:rPr>
                <w:rFonts w:hint="eastAsia" w:ascii="宋体" w:hAnsi="宋体"/>
                <w:color w:val="000000" w:themeColor="text1"/>
                <w:sz w:val="24"/>
              </w:rPr>
              <w:t>环评产生量为 0.01t/a，</w:t>
            </w:r>
            <w:r>
              <w:rPr>
                <w:rFonts w:hint="eastAsia" w:ascii="宋体" w:hAnsi="宋体" w:cs="宋体"/>
                <w:color w:val="000000" w:themeColor="text1"/>
                <w:sz w:val="24"/>
              </w:rPr>
              <w:t>由环卫部门统一清运处理；</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（6）生活垃圾、含油手套：</w:t>
            </w:r>
            <w:r>
              <w:rPr>
                <w:rFonts w:hint="eastAsia" w:ascii="宋体" w:hAnsi="宋体"/>
                <w:color w:val="000000" w:themeColor="text1"/>
                <w:sz w:val="24"/>
              </w:rPr>
              <w:t>环评产生量为 7.5t/a，</w:t>
            </w:r>
            <w:r>
              <w:rPr>
                <w:rFonts w:hint="eastAsia" w:ascii="宋体" w:hAnsi="宋体" w:cs="宋体"/>
                <w:color w:val="000000" w:themeColor="text1"/>
                <w:sz w:val="24"/>
              </w:rPr>
              <w:t>由环卫部门统一清运处理；</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（7）废机油：</w:t>
            </w:r>
            <w:r>
              <w:rPr>
                <w:rFonts w:hint="eastAsia" w:ascii="宋体" w:hAnsi="宋体"/>
                <w:color w:val="000000" w:themeColor="text1"/>
                <w:sz w:val="24"/>
              </w:rPr>
              <w:t>环评产生量为 0.5t/a，</w:t>
            </w:r>
            <w:r>
              <w:rPr>
                <w:rFonts w:hint="eastAsia" w:ascii="宋体" w:hAnsi="宋体"/>
                <w:color w:val="000000" w:themeColor="text1"/>
                <w:sz w:val="24"/>
                <w:lang w:eastAsia="zh-CN"/>
              </w:rPr>
              <w:t>目前暂未产生，产生后</w:t>
            </w:r>
            <w:r>
              <w:rPr>
                <w:rFonts w:hint="eastAsia" w:ascii="宋体" w:hAnsi="宋体"/>
                <w:color w:val="000000" w:themeColor="text1"/>
                <w:sz w:val="24"/>
              </w:rPr>
              <w:t>暂存危废仓库</w:t>
            </w:r>
            <w:r>
              <w:rPr>
                <w:rFonts w:hint="eastAsia" w:ascii="宋体" w:hAnsi="宋体" w:cs="宋体"/>
                <w:color w:val="000000" w:themeColor="text1"/>
                <w:sz w:val="24"/>
              </w:rPr>
              <w:t>。</w:t>
            </w:r>
          </w:p>
          <w:p>
            <w:pPr>
              <w:spacing w:line="336" w:lineRule="auto"/>
              <w:jc w:val="left"/>
              <w:rPr>
                <w:rFonts w:ascii="宋体" w:hAnsi="宋体"/>
                <w:color w:val="000000" w:themeColor="text1"/>
                <w:sz w:val="24"/>
                <w:szCs w:val="22"/>
              </w:rPr>
            </w:pPr>
          </w:p>
          <w:p>
            <w:pPr>
              <w:jc w:val="center"/>
              <w:rPr>
                <w:b/>
                <w:color w:val="FF0000"/>
                <w:sz w:val="28"/>
                <w:szCs w:val="28"/>
              </w:rPr>
            </w:pPr>
          </w:p>
        </w:tc>
      </w:tr>
    </w:tbl>
    <w:p>
      <w:pPr>
        <w:rPr>
          <w:b/>
          <w:color w:val="000000" w:themeColor="text1"/>
          <w:sz w:val="28"/>
          <w:szCs w:val="28"/>
        </w:rPr>
      </w:pPr>
      <w:r>
        <w:rPr>
          <w:rFonts w:hint="eastAsia"/>
          <w:b/>
          <w:color w:val="000000" w:themeColor="text1"/>
          <w:sz w:val="28"/>
          <w:szCs w:val="28"/>
        </w:rPr>
        <w:t>续表</w:t>
      </w:r>
      <w:bookmarkEnd w:id="73"/>
      <w:bookmarkEnd w:id="74"/>
      <w:bookmarkEnd w:id="75"/>
      <w:bookmarkEnd w:id="76"/>
      <w:bookmarkEnd w:id="77"/>
      <w:bookmarkEnd w:id="78"/>
      <w:bookmarkEnd w:id="79"/>
      <w:r>
        <w:rPr>
          <w:rFonts w:hint="eastAsia"/>
          <w:b/>
          <w:color w:val="000000" w:themeColor="text1"/>
          <w:sz w:val="28"/>
          <w:szCs w:val="28"/>
        </w:rPr>
        <w:t>三</w:t>
      </w:r>
      <w:bookmarkEnd w:id="80"/>
      <w:bookmarkEnd w:id="81"/>
      <w:bookmarkEnd w:id="82"/>
      <w:bookmarkEnd w:id="83"/>
      <w:bookmarkEnd w:id="84"/>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2" w:hRule="atLeast"/>
          <w:jc w:val="center"/>
        </w:trPr>
        <w:tc>
          <w:tcPr>
            <w:tcW w:w="9354" w:type="dxa"/>
          </w:tcPr>
          <w:p>
            <w:pPr>
              <w:spacing w:line="336" w:lineRule="auto"/>
              <w:rPr>
                <w:rFonts w:ascii="宋体" w:hAnsi="宋体" w:cs="宋体"/>
                <w:b/>
                <w:bCs/>
                <w:color w:val="000000" w:themeColor="text1"/>
                <w:sz w:val="24"/>
              </w:rPr>
            </w:pPr>
            <w:r>
              <w:rPr>
                <w:rFonts w:hint="eastAsia" w:ascii="宋体" w:hAnsi="宋体" w:cs="宋体"/>
                <w:b/>
                <w:bCs/>
                <w:color w:val="000000" w:themeColor="text1"/>
                <w:sz w:val="24"/>
              </w:rPr>
              <w:t>三、主要污染物的产生、处理和排放情况</w:t>
            </w:r>
          </w:p>
          <w:p>
            <w:pPr>
              <w:jc w:val="center"/>
              <w:rPr>
                <w:rFonts w:ascii="宋体" w:hAnsi="宋体" w:cs="宋体"/>
                <w:color w:val="FF0000"/>
                <w:sz w:val="24"/>
              </w:rPr>
            </w:pPr>
            <w:r>
              <w:rPr>
                <w:rFonts w:hint="eastAsia" w:ascii="黑体" w:eastAsia="黑体"/>
                <w:color w:val="000000" w:themeColor="text1"/>
                <w:sz w:val="24"/>
              </w:rPr>
              <w:t>表3-1 污染物的产生、处置和排放情况表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32"/>
              <w:gridCol w:w="1323"/>
              <w:gridCol w:w="776"/>
              <w:gridCol w:w="2174"/>
              <w:gridCol w:w="1915"/>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10" w:type="dxa"/>
                  <w:gridSpan w:val="2"/>
                  <w:vMerge w:val="restart"/>
                  <w:vAlign w:val="center"/>
                </w:tcPr>
                <w:p>
                  <w:pPr>
                    <w:jc w:val="center"/>
                    <w:rPr>
                      <w:rFonts w:ascii="宋体" w:hAnsi="宋体" w:cs="宋体"/>
                      <w:b/>
                      <w:bCs/>
                      <w:color w:val="000000" w:themeColor="text1"/>
                    </w:rPr>
                  </w:pPr>
                  <w:r>
                    <w:rPr>
                      <w:rFonts w:hint="eastAsia" w:ascii="宋体" w:hAnsi="宋体" w:cs="宋体"/>
                      <w:b/>
                      <w:bCs/>
                      <w:color w:val="000000" w:themeColor="text1"/>
                    </w:rPr>
                    <w:t>生产设备</w:t>
                  </w:r>
                </w:p>
                <w:p>
                  <w:pPr>
                    <w:jc w:val="center"/>
                    <w:rPr>
                      <w:rFonts w:ascii="宋体" w:hAnsi="宋体" w:cs="宋体"/>
                      <w:b/>
                      <w:bCs/>
                      <w:color w:val="000000" w:themeColor="text1"/>
                    </w:rPr>
                  </w:pPr>
                  <w:r>
                    <w:rPr>
                      <w:rFonts w:hint="eastAsia" w:ascii="宋体" w:hAnsi="宋体" w:cs="宋体"/>
                      <w:b/>
                      <w:bCs/>
                      <w:color w:val="000000" w:themeColor="text1"/>
                    </w:rPr>
                    <w:t>/排放源</w:t>
                  </w:r>
                </w:p>
              </w:tc>
              <w:tc>
                <w:tcPr>
                  <w:tcW w:w="1323" w:type="dxa"/>
                  <w:vMerge w:val="restart"/>
                  <w:vAlign w:val="center"/>
                </w:tcPr>
                <w:p>
                  <w:pPr>
                    <w:jc w:val="center"/>
                    <w:rPr>
                      <w:rFonts w:ascii="宋体" w:hAnsi="宋体" w:cs="宋体"/>
                      <w:b/>
                      <w:bCs/>
                      <w:color w:val="000000" w:themeColor="text1"/>
                    </w:rPr>
                  </w:pPr>
                  <w:r>
                    <w:rPr>
                      <w:rFonts w:hint="eastAsia" w:ascii="宋体" w:hAnsi="宋体" w:cs="宋体"/>
                      <w:b/>
                      <w:bCs/>
                      <w:color w:val="000000" w:themeColor="text1"/>
                    </w:rPr>
                    <w:t>主要污染物</w:t>
                  </w:r>
                </w:p>
              </w:tc>
              <w:tc>
                <w:tcPr>
                  <w:tcW w:w="776" w:type="dxa"/>
                  <w:vMerge w:val="restart"/>
                  <w:vAlign w:val="center"/>
                </w:tcPr>
                <w:p>
                  <w:pPr>
                    <w:jc w:val="center"/>
                    <w:rPr>
                      <w:rFonts w:ascii="宋体" w:hAnsi="宋体" w:cs="宋体"/>
                      <w:b/>
                      <w:bCs/>
                      <w:color w:val="000000" w:themeColor="text1"/>
                    </w:rPr>
                  </w:pPr>
                  <w:r>
                    <w:rPr>
                      <w:rFonts w:hint="eastAsia" w:ascii="宋体" w:hAnsi="宋体" w:cs="宋体"/>
                      <w:b/>
                      <w:bCs/>
                      <w:color w:val="000000" w:themeColor="text1"/>
                    </w:rPr>
                    <w:t>排放规律</w:t>
                  </w:r>
                </w:p>
              </w:tc>
              <w:tc>
                <w:tcPr>
                  <w:tcW w:w="4089" w:type="dxa"/>
                  <w:gridSpan w:val="2"/>
                  <w:vAlign w:val="center"/>
                </w:tcPr>
                <w:p>
                  <w:pPr>
                    <w:jc w:val="center"/>
                    <w:rPr>
                      <w:rFonts w:ascii="宋体" w:hAnsi="宋体" w:cs="宋体"/>
                      <w:b/>
                      <w:bCs/>
                      <w:color w:val="000000" w:themeColor="text1"/>
                    </w:rPr>
                  </w:pPr>
                  <w:r>
                    <w:rPr>
                      <w:rFonts w:hint="eastAsia" w:ascii="宋体" w:hAnsi="宋体" w:cs="宋体"/>
                      <w:b/>
                      <w:bCs/>
                      <w:color w:val="000000" w:themeColor="text1"/>
                    </w:rPr>
                    <w:t>处理设施</w:t>
                  </w:r>
                </w:p>
              </w:tc>
              <w:tc>
                <w:tcPr>
                  <w:tcW w:w="973" w:type="dxa"/>
                  <w:vMerge w:val="restart"/>
                  <w:vAlign w:val="center"/>
                </w:tcPr>
                <w:p>
                  <w:pPr>
                    <w:jc w:val="center"/>
                    <w:rPr>
                      <w:rFonts w:ascii="宋体" w:hAnsi="宋体" w:cs="宋体"/>
                      <w:b/>
                      <w:bCs/>
                      <w:color w:val="000000" w:themeColor="text1"/>
                    </w:rPr>
                  </w:pPr>
                  <w:r>
                    <w:rPr>
                      <w:rFonts w:hint="eastAsia" w:ascii="宋体" w:hAnsi="宋体" w:cs="宋体"/>
                      <w:b/>
                      <w:bCs/>
                      <w:color w:val="000000" w:themeColor="text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10" w:type="dxa"/>
                  <w:gridSpan w:val="2"/>
                  <w:vMerge w:val="continue"/>
                  <w:vAlign w:val="center"/>
                </w:tcPr>
                <w:p>
                  <w:pPr>
                    <w:jc w:val="center"/>
                    <w:rPr>
                      <w:rFonts w:ascii="宋体" w:hAnsi="宋体" w:cs="宋体"/>
                      <w:color w:val="FF0000"/>
                      <w:szCs w:val="21"/>
                    </w:rPr>
                  </w:pPr>
                </w:p>
              </w:tc>
              <w:tc>
                <w:tcPr>
                  <w:tcW w:w="1323" w:type="dxa"/>
                  <w:vMerge w:val="continue"/>
                  <w:vAlign w:val="center"/>
                </w:tcPr>
                <w:p>
                  <w:pPr>
                    <w:jc w:val="center"/>
                    <w:rPr>
                      <w:rFonts w:ascii="宋体" w:hAnsi="宋体" w:cs="宋体"/>
                      <w:color w:val="FF0000"/>
                      <w:szCs w:val="21"/>
                    </w:rPr>
                  </w:pPr>
                </w:p>
              </w:tc>
              <w:tc>
                <w:tcPr>
                  <w:tcW w:w="776" w:type="dxa"/>
                  <w:vMerge w:val="continue"/>
                  <w:vAlign w:val="center"/>
                </w:tcPr>
                <w:p>
                  <w:pPr>
                    <w:jc w:val="center"/>
                    <w:rPr>
                      <w:rFonts w:ascii="宋体" w:hAnsi="宋体" w:cs="宋体"/>
                      <w:color w:val="FF0000"/>
                      <w:szCs w:val="21"/>
                    </w:rPr>
                  </w:pPr>
                </w:p>
              </w:tc>
              <w:tc>
                <w:tcPr>
                  <w:tcW w:w="2174" w:type="dxa"/>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“环评”/初步设计要求</w:t>
                  </w:r>
                </w:p>
              </w:tc>
              <w:tc>
                <w:tcPr>
                  <w:tcW w:w="1915" w:type="dxa"/>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实际建设</w:t>
                  </w:r>
                </w:p>
              </w:tc>
              <w:tc>
                <w:tcPr>
                  <w:tcW w:w="973" w:type="dxa"/>
                  <w:vMerge w:val="continue"/>
                  <w:vAlign w:val="center"/>
                </w:tcPr>
                <w:p>
                  <w:pPr>
                    <w:jc w:val="center"/>
                    <w:rPr>
                      <w:rFonts w:ascii="宋体" w:hAnsi="宋体" w:cs="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578" w:type="dxa"/>
                  <w:vMerge w:val="restart"/>
                  <w:vAlign w:val="center"/>
                </w:tcPr>
                <w:p>
                  <w:pPr>
                    <w:jc w:val="center"/>
                    <w:rPr>
                      <w:rFonts w:ascii="宋体" w:hAnsi="宋体" w:cs="宋体"/>
                      <w:color w:val="000000" w:themeColor="text1"/>
                      <w:szCs w:val="21"/>
                    </w:rPr>
                  </w:pPr>
                  <w:r>
                    <w:rPr>
                      <w:rFonts w:hint="eastAsia" w:ascii="宋体" w:hAnsi="宋体" w:cs="宋体"/>
                      <w:color w:val="000000" w:themeColor="text1"/>
                      <w:szCs w:val="21"/>
                    </w:rPr>
                    <w:t>废水</w:t>
                  </w:r>
                </w:p>
              </w:tc>
              <w:tc>
                <w:tcPr>
                  <w:tcW w:w="1332"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生活污水</w:t>
                  </w:r>
                </w:p>
              </w:tc>
              <w:tc>
                <w:tcPr>
                  <w:tcW w:w="1323"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COD</w:t>
                  </w:r>
                  <w:r>
                    <w:rPr>
                      <w:rFonts w:hint="eastAsia" w:ascii="宋体" w:hAnsi="宋体" w:cs="宋体"/>
                      <w:color w:val="000000" w:themeColor="text1"/>
                      <w:szCs w:val="21"/>
                      <w:vertAlign w:val="subscript"/>
                    </w:rPr>
                    <w:t>Cr</w:t>
                  </w:r>
                  <w:r>
                    <w:rPr>
                      <w:rFonts w:hint="eastAsia" w:ascii="宋体" w:hAnsi="宋体" w:cs="宋体"/>
                      <w:color w:val="000000" w:themeColor="text1"/>
                      <w:kern w:val="28"/>
                      <w:szCs w:val="21"/>
                    </w:rPr>
                    <w:t>、SS、氨氮、TP</w:t>
                  </w:r>
                </w:p>
              </w:tc>
              <w:tc>
                <w:tcPr>
                  <w:tcW w:w="776" w:type="dxa"/>
                  <w:vMerge w:val="restart"/>
                  <w:vAlign w:val="center"/>
                </w:tcPr>
                <w:p>
                  <w:pPr>
                    <w:jc w:val="center"/>
                    <w:rPr>
                      <w:rFonts w:ascii="宋体" w:hAnsi="宋体" w:cs="宋体"/>
                      <w:color w:val="000000" w:themeColor="text1"/>
                      <w:szCs w:val="21"/>
                    </w:rPr>
                  </w:pPr>
                  <w:r>
                    <w:rPr>
                      <w:rFonts w:hint="eastAsia" w:ascii="宋体" w:hAnsi="宋体" w:cs="宋体"/>
                      <w:color w:val="000000" w:themeColor="text1"/>
                      <w:szCs w:val="21"/>
                    </w:rPr>
                    <w:t>间断</w:t>
                  </w:r>
                </w:p>
              </w:tc>
              <w:tc>
                <w:tcPr>
                  <w:tcW w:w="2174" w:type="dxa"/>
                  <w:vAlign w:val="center"/>
                </w:tcPr>
                <w:p>
                  <w:pPr>
                    <w:ind w:firstLine="210" w:firstLineChars="100"/>
                    <w:jc w:val="center"/>
                    <w:rPr>
                      <w:rFonts w:ascii="宋体" w:hAnsi="宋体" w:cs="宋体"/>
                      <w:color w:val="auto"/>
                      <w:szCs w:val="21"/>
                    </w:rPr>
                  </w:pPr>
                  <w:r>
                    <w:rPr>
                      <w:rFonts w:hint="eastAsia" w:ascii="宋体" w:hAnsi="宋体" w:cs="宋体"/>
                      <w:color w:val="auto"/>
                      <w:szCs w:val="21"/>
                    </w:rPr>
                    <w:t>接管</w:t>
                  </w:r>
                </w:p>
              </w:tc>
              <w:tc>
                <w:tcPr>
                  <w:tcW w:w="1915" w:type="dxa"/>
                  <w:vAlign w:val="center"/>
                </w:tcPr>
                <w:p>
                  <w:pPr>
                    <w:jc w:val="center"/>
                    <w:rPr>
                      <w:rFonts w:ascii="宋体" w:hAnsi="宋体" w:cs="宋体"/>
                      <w:color w:val="auto"/>
                      <w:szCs w:val="21"/>
                    </w:rPr>
                  </w:pPr>
                  <w:r>
                    <w:rPr>
                      <w:rFonts w:hint="eastAsia" w:ascii="宋体" w:hAnsi="宋体" w:cs="宋体"/>
                      <w:color w:val="auto"/>
                      <w:szCs w:val="21"/>
                    </w:rPr>
                    <w:t>接管</w:t>
                  </w:r>
                </w:p>
              </w:tc>
              <w:tc>
                <w:tcPr>
                  <w:tcW w:w="973" w:type="dxa"/>
                  <w:vMerge w:val="restart"/>
                  <w:vAlign w:val="center"/>
                </w:tcPr>
                <w:p>
                  <w:pPr>
                    <w:jc w:val="center"/>
                    <w:rPr>
                      <w:rFonts w:ascii="宋体" w:hAnsi="宋体" w:cs="宋体"/>
                      <w:color w:val="FF0000"/>
                      <w:szCs w:val="21"/>
                    </w:rPr>
                  </w:pPr>
                  <w:r>
                    <w:rPr>
                      <w:rFonts w:hint="eastAsia"/>
                      <w:color w:val="000000" w:themeColor="text1"/>
                      <w:szCs w:val="21"/>
                    </w:rPr>
                    <w:t>开发区污水管网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578" w:type="dxa"/>
                  <w:vMerge w:val="continue"/>
                  <w:vAlign w:val="center"/>
                </w:tcPr>
                <w:p>
                  <w:pPr>
                    <w:jc w:val="center"/>
                    <w:rPr>
                      <w:color w:val="000000" w:themeColor="text1"/>
                    </w:rPr>
                  </w:pPr>
                </w:p>
              </w:tc>
              <w:tc>
                <w:tcPr>
                  <w:tcW w:w="1332"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食堂污水</w:t>
                  </w:r>
                </w:p>
              </w:tc>
              <w:tc>
                <w:tcPr>
                  <w:tcW w:w="1323"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COD</w:t>
                  </w:r>
                  <w:r>
                    <w:rPr>
                      <w:rFonts w:hint="eastAsia" w:ascii="宋体" w:hAnsi="宋体" w:cs="宋体"/>
                      <w:color w:val="000000" w:themeColor="text1"/>
                      <w:szCs w:val="21"/>
                      <w:vertAlign w:val="subscript"/>
                    </w:rPr>
                    <w:t>Cr</w:t>
                  </w:r>
                  <w:r>
                    <w:rPr>
                      <w:rFonts w:hint="eastAsia" w:ascii="宋体" w:hAnsi="宋体" w:cs="宋体"/>
                      <w:color w:val="000000" w:themeColor="text1"/>
                      <w:kern w:val="28"/>
                      <w:szCs w:val="21"/>
                    </w:rPr>
                    <w:t>、SS、氨氮、TP、动植物油</w:t>
                  </w:r>
                </w:p>
              </w:tc>
              <w:tc>
                <w:tcPr>
                  <w:tcW w:w="776" w:type="dxa"/>
                  <w:vMerge w:val="continue"/>
                  <w:vAlign w:val="center"/>
                </w:tcPr>
                <w:p>
                  <w:pPr>
                    <w:jc w:val="center"/>
                    <w:rPr>
                      <w:rFonts w:ascii="宋体" w:hAnsi="宋体" w:cs="宋体"/>
                      <w:color w:val="000000" w:themeColor="text1"/>
                      <w:szCs w:val="21"/>
                    </w:rPr>
                  </w:pPr>
                </w:p>
              </w:tc>
              <w:tc>
                <w:tcPr>
                  <w:tcW w:w="2174" w:type="dxa"/>
                  <w:vAlign w:val="center"/>
                </w:tcPr>
                <w:p>
                  <w:pPr>
                    <w:jc w:val="center"/>
                    <w:rPr>
                      <w:rFonts w:ascii="宋体" w:hAnsi="宋体" w:cs="宋体"/>
                      <w:color w:val="auto"/>
                      <w:szCs w:val="21"/>
                    </w:rPr>
                  </w:pPr>
                  <w:r>
                    <w:rPr>
                      <w:rFonts w:hint="eastAsia" w:ascii="宋体" w:hAnsi="宋体" w:cs="宋体"/>
                      <w:color w:val="auto"/>
                      <w:szCs w:val="21"/>
                    </w:rPr>
                    <w:t>隔油隔渣池+接管</w:t>
                  </w:r>
                </w:p>
              </w:tc>
              <w:tc>
                <w:tcPr>
                  <w:tcW w:w="1915" w:type="dxa"/>
                  <w:vAlign w:val="center"/>
                </w:tcPr>
                <w:p>
                  <w:pPr>
                    <w:jc w:val="center"/>
                    <w:rPr>
                      <w:rFonts w:ascii="宋体" w:hAnsi="宋体" w:cs="宋体"/>
                      <w:color w:val="auto"/>
                      <w:szCs w:val="21"/>
                    </w:rPr>
                  </w:pPr>
                  <w:r>
                    <w:rPr>
                      <w:rFonts w:hint="eastAsia" w:ascii="宋体" w:hAnsi="宋体" w:cs="宋体"/>
                      <w:color w:val="auto"/>
                      <w:szCs w:val="21"/>
                    </w:rPr>
                    <w:t>隔油隔渣池+接管</w:t>
                  </w:r>
                </w:p>
              </w:tc>
              <w:tc>
                <w:tcPr>
                  <w:tcW w:w="973" w:type="dxa"/>
                  <w:vMerge w:val="continue"/>
                  <w:vAlign w:val="center"/>
                </w:tcPr>
                <w:p>
                  <w:pPr>
                    <w:jc w:val="center"/>
                    <w:rPr>
                      <w:rFonts w:ascii="宋体" w:hAnsi="宋体" w:cs="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78"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废气</w:t>
                  </w:r>
                </w:p>
              </w:tc>
              <w:tc>
                <w:tcPr>
                  <w:tcW w:w="1332" w:type="dxa"/>
                  <w:vAlign w:val="center"/>
                </w:tcPr>
                <w:p>
                  <w:pPr>
                    <w:spacing w:line="336" w:lineRule="auto"/>
                    <w:ind w:firstLine="210" w:firstLineChars="100"/>
                    <w:jc w:val="center"/>
                    <w:rPr>
                      <w:rFonts w:ascii="宋体" w:hAnsi="宋体"/>
                      <w:color w:val="000000" w:themeColor="text1"/>
                      <w:szCs w:val="21"/>
                    </w:rPr>
                  </w:pPr>
                  <w:r>
                    <w:rPr>
                      <w:rFonts w:hint="eastAsia" w:ascii="宋体" w:hAnsi="宋体"/>
                      <w:color w:val="000000" w:themeColor="text1"/>
                    </w:rPr>
                    <w:t>焊接废气</w:t>
                  </w:r>
                </w:p>
              </w:tc>
              <w:tc>
                <w:tcPr>
                  <w:tcW w:w="1323"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颗粒物</w:t>
                  </w:r>
                </w:p>
              </w:tc>
              <w:tc>
                <w:tcPr>
                  <w:tcW w:w="776"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间断</w:t>
                  </w:r>
                </w:p>
              </w:tc>
              <w:tc>
                <w:tcPr>
                  <w:tcW w:w="2174"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排风扇</w:t>
                  </w:r>
                </w:p>
              </w:tc>
              <w:tc>
                <w:tcPr>
                  <w:tcW w:w="1915"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排风扇</w:t>
                  </w:r>
                </w:p>
              </w:tc>
              <w:tc>
                <w:tcPr>
                  <w:tcW w:w="973"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8" w:type="dxa"/>
                  <w:vMerge w:val="continue"/>
                  <w:vAlign w:val="center"/>
                </w:tcPr>
                <w:p>
                  <w:pPr>
                    <w:jc w:val="center"/>
                    <w:rPr>
                      <w:rFonts w:ascii="宋体" w:hAnsi="宋体"/>
                      <w:color w:val="FF0000"/>
                      <w:szCs w:val="21"/>
                    </w:rPr>
                  </w:pPr>
                </w:p>
              </w:tc>
              <w:tc>
                <w:tcPr>
                  <w:tcW w:w="1332" w:type="dxa"/>
                  <w:vAlign w:val="center"/>
                </w:tcPr>
                <w:p>
                  <w:pPr>
                    <w:spacing w:line="336" w:lineRule="auto"/>
                    <w:ind w:firstLine="210" w:firstLineChars="100"/>
                    <w:jc w:val="center"/>
                    <w:rPr>
                      <w:rFonts w:ascii="宋体" w:hAnsi="宋体"/>
                      <w:color w:val="000000" w:themeColor="text1"/>
                    </w:rPr>
                  </w:pPr>
                  <w:r>
                    <w:rPr>
                      <w:rFonts w:hint="eastAsia" w:ascii="宋体" w:hAnsi="宋体"/>
                      <w:color w:val="000000" w:themeColor="text1"/>
                    </w:rPr>
                    <w:t>食堂油烟</w:t>
                  </w:r>
                </w:p>
              </w:tc>
              <w:tc>
                <w:tcPr>
                  <w:tcW w:w="1323"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油烟</w:t>
                  </w:r>
                </w:p>
              </w:tc>
              <w:tc>
                <w:tcPr>
                  <w:tcW w:w="776" w:type="dxa"/>
                  <w:vAlign w:val="center"/>
                </w:tcPr>
                <w:p>
                  <w:pPr>
                    <w:snapToGrid w:val="0"/>
                    <w:jc w:val="center"/>
                    <w:rPr>
                      <w:rFonts w:ascii="宋体" w:hAnsi="宋体"/>
                      <w:color w:val="000000" w:themeColor="text1"/>
                      <w:szCs w:val="21"/>
                    </w:rPr>
                  </w:pPr>
                  <w:r>
                    <w:rPr>
                      <w:rFonts w:hint="eastAsia" w:ascii="宋体" w:hAnsi="宋体"/>
                      <w:color w:val="000000" w:themeColor="text1"/>
                      <w:szCs w:val="21"/>
                    </w:rPr>
                    <w:t>间断</w:t>
                  </w:r>
                </w:p>
              </w:tc>
              <w:tc>
                <w:tcPr>
                  <w:tcW w:w="2174" w:type="dxa"/>
                  <w:vAlign w:val="center"/>
                </w:tcPr>
                <w:p>
                  <w:pPr>
                    <w:jc w:val="center"/>
                    <w:rPr>
                      <w:rFonts w:ascii="宋体" w:hAnsi="宋体"/>
                      <w:color w:val="000000" w:themeColor="text1"/>
                      <w:szCs w:val="21"/>
                    </w:rPr>
                  </w:pPr>
                  <w:r>
                    <w:rPr>
                      <w:rFonts w:hint="eastAsia"/>
                      <w:color w:val="000000" w:themeColor="text1"/>
                      <w:szCs w:val="21"/>
                    </w:rPr>
                    <w:t>油烟净化器</w:t>
                  </w:r>
                </w:p>
              </w:tc>
              <w:tc>
                <w:tcPr>
                  <w:tcW w:w="1915" w:type="dxa"/>
                  <w:vAlign w:val="center"/>
                </w:tcPr>
                <w:p>
                  <w:pPr>
                    <w:jc w:val="center"/>
                    <w:rPr>
                      <w:rFonts w:ascii="宋体" w:hAnsi="宋体"/>
                      <w:color w:val="000000" w:themeColor="text1"/>
                      <w:szCs w:val="21"/>
                    </w:rPr>
                  </w:pPr>
                  <w:r>
                    <w:rPr>
                      <w:rFonts w:hint="eastAsia"/>
                      <w:color w:val="000000" w:themeColor="text1"/>
                      <w:szCs w:val="21"/>
                    </w:rPr>
                    <w:t>油烟净化器</w:t>
                  </w: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固体废物</w:t>
                  </w:r>
                </w:p>
              </w:tc>
              <w:tc>
                <w:tcPr>
                  <w:tcW w:w="1332"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生产过程</w:t>
                  </w: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板材边角料</w:t>
                  </w:r>
                </w:p>
              </w:tc>
              <w:tc>
                <w:tcPr>
                  <w:tcW w:w="776"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w:t>
                  </w:r>
                </w:p>
              </w:tc>
              <w:tc>
                <w:tcPr>
                  <w:tcW w:w="2174"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厂家收集后出售</w:t>
                  </w:r>
                </w:p>
              </w:tc>
              <w:tc>
                <w:tcPr>
                  <w:tcW w:w="1915"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厂家收集后出售</w:t>
                  </w:r>
                </w:p>
              </w:tc>
              <w:tc>
                <w:tcPr>
                  <w:tcW w:w="973"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continue"/>
                  <w:vAlign w:val="center"/>
                </w:tcPr>
                <w:p>
                  <w:pPr>
                    <w:jc w:val="center"/>
                  </w:pPr>
                </w:p>
              </w:tc>
              <w:tc>
                <w:tcPr>
                  <w:tcW w:w="1332" w:type="dxa"/>
                  <w:vMerge w:val="continue"/>
                  <w:vAlign w:val="center"/>
                </w:tcPr>
                <w:p>
                  <w:pPr>
                    <w:jc w:val="center"/>
                  </w:pP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钢材边角料</w:t>
                  </w:r>
                </w:p>
              </w:tc>
              <w:tc>
                <w:tcPr>
                  <w:tcW w:w="776" w:type="dxa"/>
                  <w:vMerge w:val="continue"/>
                  <w:vAlign w:val="center"/>
                </w:tcPr>
                <w:p>
                  <w:pPr>
                    <w:jc w:val="center"/>
                    <w:rPr>
                      <w:rFonts w:ascii="宋体" w:hAnsi="宋体"/>
                      <w:color w:val="FF0000"/>
                      <w:szCs w:val="21"/>
                    </w:rPr>
                  </w:pPr>
                </w:p>
              </w:tc>
              <w:tc>
                <w:tcPr>
                  <w:tcW w:w="2174" w:type="dxa"/>
                  <w:vMerge w:val="continue"/>
                  <w:vAlign w:val="center"/>
                </w:tcPr>
                <w:p>
                  <w:pPr>
                    <w:jc w:val="center"/>
                    <w:rPr>
                      <w:rFonts w:ascii="宋体" w:hAnsi="宋体"/>
                      <w:color w:val="FF0000"/>
                      <w:szCs w:val="21"/>
                    </w:rPr>
                  </w:pPr>
                </w:p>
              </w:tc>
              <w:tc>
                <w:tcPr>
                  <w:tcW w:w="1915" w:type="dxa"/>
                  <w:vMerge w:val="continue"/>
                  <w:vAlign w:val="center"/>
                </w:tcPr>
                <w:p>
                  <w:pPr>
                    <w:jc w:val="center"/>
                    <w:rPr>
                      <w:rFonts w:ascii="宋体" w:hAnsi="宋体"/>
                      <w:color w:val="FF0000"/>
                      <w:szCs w:val="21"/>
                    </w:rPr>
                  </w:pP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continue"/>
                  <w:vAlign w:val="center"/>
                </w:tcPr>
                <w:p>
                  <w:pPr>
                    <w:jc w:val="center"/>
                    <w:rPr>
                      <w:rFonts w:ascii="宋体" w:hAnsi="宋体"/>
                      <w:color w:val="FF0000"/>
                      <w:szCs w:val="21"/>
                    </w:rPr>
                  </w:pPr>
                </w:p>
              </w:tc>
              <w:tc>
                <w:tcPr>
                  <w:tcW w:w="1332" w:type="dxa"/>
                  <w:vMerge w:val="continue"/>
                  <w:vAlign w:val="center"/>
                </w:tcPr>
                <w:p>
                  <w:pPr>
                    <w:jc w:val="center"/>
                    <w:rPr>
                      <w:rFonts w:ascii="宋体" w:hAnsi="宋体"/>
                      <w:color w:val="FF0000"/>
                      <w:szCs w:val="21"/>
                    </w:rPr>
                  </w:pP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废焊条</w:t>
                  </w:r>
                </w:p>
              </w:tc>
              <w:tc>
                <w:tcPr>
                  <w:tcW w:w="776" w:type="dxa"/>
                  <w:vMerge w:val="continue"/>
                  <w:vAlign w:val="center"/>
                </w:tcPr>
                <w:p>
                  <w:pPr>
                    <w:jc w:val="center"/>
                    <w:rPr>
                      <w:rFonts w:ascii="宋体" w:hAnsi="宋体"/>
                      <w:color w:val="FF0000"/>
                      <w:szCs w:val="21"/>
                    </w:rPr>
                  </w:pPr>
                </w:p>
              </w:tc>
              <w:tc>
                <w:tcPr>
                  <w:tcW w:w="2174" w:type="dxa"/>
                  <w:vMerge w:val="continue"/>
                  <w:vAlign w:val="center"/>
                </w:tcPr>
                <w:p>
                  <w:pPr>
                    <w:jc w:val="center"/>
                    <w:rPr>
                      <w:rFonts w:ascii="宋体" w:hAnsi="宋体"/>
                      <w:color w:val="FF0000"/>
                      <w:szCs w:val="21"/>
                    </w:rPr>
                  </w:pPr>
                </w:p>
              </w:tc>
              <w:tc>
                <w:tcPr>
                  <w:tcW w:w="1915" w:type="dxa"/>
                  <w:vMerge w:val="continue"/>
                  <w:vAlign w:val="center"/>
                </w:tcPr>
                <w:p>
                  <w:pPr>
                    <w:jc w:val="center"/>
                    <w:rPr>
                      <w:rFonts w:ascii="宋体" w:hAnsi="宋体"/>
                      <w:color w:val="FF0000"/>
                      <w:szCs w:val="21"/>
                    </w:rPr>
                  </w:pP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continue"/>
                  <w:vAlign w:val="center"/>
                </w:tcPr>
                <w:p>
                  <w:pPr>
                    <w:jc w:val="center"/>
                    <w:rPr>
                      <w:rFonts w:ascii="宋体" w:hAnsi="宋体"/>
                      <w:color w:val="FF0000"/>
                      <w:szCs w:val="21"/>
                    </w:rPr>
                  </w:pPr>
                </w:p>
              </w:tc>
              <w:tc>
                <w:tcPr>
                  <w:tcW w:w="1332" w:type="dxa"/>
                  <w:vMerge w:val="continue"/>
                  <w:vAlign w:val="center"/>
                </w:tcPr>
                <w:p>
                  <w:pPr>
                    <w:jc w:val="center"/>
                    <w:rPr>
                      <w:rFonts w:ascii="宋体" w:hAnsi="宋体"/>
                      <w:color w:val="FF0000"/>
                      <w:szCs w:val="21"/>
                    </w:rPr>
                  </w:pP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铁粉</w:t>
                  </w:r>
                </w:p>
              </w:tc>
              <w:tc>
                <w:tcPr>
                  <w:tcW w:w="776" w:type="dxa"/>
                  <w:vMerge w:val="continue"/>
                  <w:vAlign w:val="center"/>
                </w:tcPr>
                <w:p>
                  <w:pPr>
                    <w:jc w:val="center"/>
                    <w:rPr>
                      <w:rFonts w:ascii="宋体" w:hAnsi="宋体"/>
                      <w:color w:val="FF0000"/>
                      <w:szCs w:val="21"/>
                    </w:rPr>
                  </w:pPr>
                </w:p>
              </w:tc>
              <w:tc>
                <w:tcPr>
                  <w:tcW w:w="2174" w:type="dxa"/>
                  <w:vMerge w:val="continue"/>
                  <w:vAlign w:val="center"/>
                </w:tcPr>
                <w:p>
                  <w:pPr>
                    <w:jc w:val="center"/>
                    <w:rPr>
                      <w:rFonts w:ascii="宋体" w:hAnsi="宋体"/>
                      <w:color w:val="FF0000"/>
                      <w:szCs w:val="21"/>
                    </w:rPr>
                  </w:pPr>
                </w:p>
              </w:tc>
              <w:tc>
                <w:tcPr>
                  <w:tcW w:w="1915" w:type="dxa"/>
                  <w:vMerge w:val="continue"/>
                  <w:vAlign w:val="center"/>
                </w:tcPr>
                <w:p>
                  <w:pPr>
                    <w:jc w:val="center"/>
                    <w:rPr>
                      <w:rFonts w:ascii="宋体" w:hAnsi="宋体"/>
                      <w:color w:val="FF0000"/>
                      <w:szCs w:val="21"/>
                    </w:rPr>
                  </w:pP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continue"/>
                  <w:vAlign w:val="center"/>
                </w:tcPr>
                <w:p>
                  <w:pPr>
                    <w:jc w:val="center"/>
                    <w:rPr>
                      <w:rFonts w:ascii="宋体" w:hAnsi="宋体"/>
                      <w:color w:val="FF0000"/>
                      <w:szCs w:val="21"/>
                    </w:rPr>
                  </w:pPr>
                </w:p>
              </w:tc>
              <w:tc>
                <w:tcPr>
                  <w:tcW w:w="1332" w:type="dxa"/>
                  <w:vMerge w:val="continue"/>
                  <w:vAlign w:val="center"/>
                </w:tcPr>
                <w:p>
                  <w:pPr>
                    <w:jc w:val="center"/>
                    <w:rPr>
                      <w:rFonts w:ascii="宋体" w:hAnsi="宋体"/>
                      <w:color w:val="FF0000"/>
                      <w:szCs w:val="21"/>
                    </w:rPr>
                  </w:pP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废机油</w:t>
                  </w:r>
                </w:p>
              </w:tc>
              <w:tc>
                <w:tcPr>
                  <w:tcW w:w="776" w:type="dxa"/>
                  <w:vMerge w:val="continue"/>
                  <w:vAlign w:val="center"/>
                </w:tcPr>
                <w:p>
                  <w:pPr>
                    <w:jc w:val="center"/>
                    <w:rPr>
                      <w:rFonts w:ascii="宋体" w:hAnsi="宋体"/>
                      <w:color w:val="FF0000"/>
                      <w:szCs w:val="21"/>
                    </w:rPr>
                  </w:pPr>
                </w:p>
              </w:tc>
              <w:tc>
                <w:tcPr>
                  <w:tcW w:w="2174" w:type="dxa"/>
                  <w:vAlign w:val="center"/>
                </w:tcPr>
                <w:p>
                  <w:pPr>
                    <w:jc w:val="center"/>
                    <w:rPr>
                      <w:rFonts w:ascii="宋体" w:hAnsi="宋体"/>
                      <w:color w:val="000000" w:themeColor="text1"/>
                      <w:szCs w:val="21"/>
                    </w:rPr>
                  </w:pPr>
                  <w:r>
                    <w:rPr>
                      <w:rFonts w:hint="eastAsia" w:ascii="宋体" w:hAnsi="宋体"/>
                      <w:color w:val="000000" w:themeColor="text1"/>
                      <w:szCs w:val="21"/>
                    </w:rPr>
                    <w:t>有资质单位处理</w:t>
                  </w:r>
                </w:p>
              </w:tc>
              <w:tc>
                <w:tcPr>
                  <w:tcW w:w="1915" w:type="dxa"/>
                  <w:vAlign w:val="center"/>
                </w:tcPr>
                <w:p>
                  <w:pPr>
                    <w:jc w:val="center"/>
                    <w:rPr>
                      <w:rFonts w:ascii="宋体" w:hAnsi="宋体"/>
                      <w:color w:val="FF0000"/>
                      <w:szCs w:val="21"/>
                    </w:rPr>
                  </w:pPr>
                  <w:r>
                    <w:rPr>
                      <w:rFonts w:hint="eastAsia" w:ascii="宋体" w:hAnsi="宋体"/>
                      <w:color w:val="000000" w:themeColor="text1"/>
                      <w:szCs w:val="21"/>
                      <w:lang w:eastAsia="zh-CN"/>
                    </w:rPr>
                    <w:t>暂未产生，</w:t>
                  </w:r>
                  <w:r>
                    <w:rPr>
                      <w:rFonts w:hint="eastAsia" w:ascii="宋体" w:hAnsi="宋体"/>
                      <w:color w:val="000000" w:themeColor="text1"/>
                      <w:szCs w:val="21"/>
                    </w:rPr>
                    <w:t>暂存危废仓库</w:t>
                  </w: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578" w:type="dxa"/>
                  <w:vMerge w:val="continue"/>
                  <w:vAlign w:val="center"/>
                </w:tcPr>
                <w:p>
                  <w:pPr>
                    <w:jc w:val="center"/>
                    <w:rPr>
                      <w:rFonts w:ascii="宋体" w:hAnsi="宋体"/>
                      <w:color w:val="FF0000"/>
                      <w:szCs w:val="21"/>
                    </w:rPr>
                  </w:pPr>
                </w:p>
              </w:tc>
              <w:tc>
                <w:tcPr>
                  <w:tcW w:w="1332" w:type="dxa"/>
                  <w:vMerge w:val="continue"/>
                  <w:vAlign w:val="center"/>
                </w:tcPr>
                <w:p>
                  <w:pPr>
                    <w:jc w:val="center"/>
                    <w:rPr>
                      <w:rFonts w:ascii="宋体" w:hAnsi="宋体"/>
                      <w:color w:val="FF0000"/>
                      <w:szCs w:val="21"/>
                    </w:rPr>
                  </w:pP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包装废弃物</w:t>
                  </w:r>
                </w:p>
              </w:tc>
              <w:tc>
                <w:tcPr>
                  <w:tcW w:w="776" w:type="dxa"/>
                  <w:vMerge w:val="continue"/>
                  <w:vAlign w:val="center"/>
                </w:tcPr>
                <w:p>
                  <w:pPr>
                    <w:jc w:val="center"/>
                    <w:rPr>
                      <w:rFonts w:ascii="宋体" w:hAnsi="宋体"/>
                      <w:color w:val="FF0000"/>
                      <w:szCs w:val="21"/>
                    </w:rPr>
                  </w:pPr>
                </w:p>
              </w:tc>
              <w:tc>
                <w:tcPr>
                  <w:tcW w:w="2174" w:type="dxa"/>
                  <w:vMerge w:val="restart"/>
                  <w:vAlign w:val="center"/>
                </w:tcPr>
                <w:p>
                  <w:pPr>
                    <w:jc w:val="center"/>
                    <w:rPr>
                      <w:rFonts w:ascii="宋体" w:hAnsi="宋体"/>
                      <w:color w:val="000000" w:themeColor="text1"/>
                      <w:szCs w:val="21"/>
                    </w:rPr>
                  </w:pPr>
                  <w:r>
                    <w:rPr>
                      <w:rFonts w:hint="eastAsia" w:ascii="宋体" w:hAnsi="宋体"/>
                      <w:color w:val="000000" w:themeColor="text1"/>
                      <w:szCs w:val="21"/>
                    </w:rPr>
                    <w:t>环卫部门统一清运处理</w:t>
                  </w:r>
                </w:p>
              </w:tc>
              <w:tc>
                <w:tcPr>
                  <w:tcW w:w="1915" w:type="dxa"/>
                  <w:vMerge w:val="restart"/>
                  <w:vAlign w:val="center"/>
                </w:tcPr>
                <w:p>
                  <w:pPr>
                    <w:jc w:val="center"/>
                    <w:rPr>
                      <w:rFonts w:ascii="宋体" w:hAnsi="宋体"/>
                      <w:color w:val="FF0000"/>
                      <w:szCs w:val="21"/>
                    </w:rPr>
                  </w:pPr>
                  <w:r>
                    <w:rPr>
                      <w:rFonts w:hint="eastAsia" w:ascii="宋体" w:hAnsi="宋体"/>
                      <w:color w:val="000000" w:themeColor="text1"/>
                      <w:szCs w:val="21"/>
                    </w:rPr>
                    <w:t>环卫部门统一清运处理</w:t>
                  </w:r>
                </w:p>
              </w:tc>
              <w:tc>
                <w:tcPr>
                  <w:tcW w:w="973" w:type="dxa"/>
                  <w:vMerge w:val="continue"/>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78" w:type="dxa"/>
                  <w:vMerge w:val="continue"/>
                  <w:vAlign w:val="center"/>
                </w:tcPr>
                <w:p>
                  <w:pPr>
                    <w:jc w:val="center"/>
                    <w:rPr>
                      <w:rFonts w:ascii="宋体" w:hAnsi="宋体"/>
                      <w:color w:val="FF0000"/>
                      <w:szCs w:val="21"/>
                    </w:rPr>
                  </w:pPr>
                </w:p>
              </w:tc>
              <w:tc>
                <w:tcPr>
                  <w:tcW w:w="1332" w:type="dxa"/>
                  <w:vAlign w:val="center"/>
                </w:tcPr>
                <w:p>
                  <w:pPr>
                    <w:jc w:val="center"/>
                    <w:rPr>
                      <w:rFonts w:ascii="宋体" w:hAnsi="宋体"/>
                      <w:color w:val="000000" w:themeColor="text1"/>
                      <w:szCs w:val="21"/>
                    </w:rPr>
                  </w:pPr>
                  <w:r>
                    <w:rPr>
                      <w:rFonts w:hint="eastAsia" w:ascii="宋体" w:hAnsi="宋体"/>
                      <w:color w:val="000000" w:themeColor="text1"/>
                      <w:szCs w:val="21"/>
                    </w:rPr>
                    <w:t>职工生活</w:t>
                  </w: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生活垃圾、含油手套</w:t>
                  </w:r>
                </w:p>
              </w:tc>
              <w:tc>
                <w:tcPr>
                  <w:tcW w:w="776" w:type="dxa"/>
                  <w:vMerge w:val="continue"/>
                  <w:vAlign w:val="center"/>
                </w:tcPr>
                <w:p>
                  <w:pPr>
                    <w:jc w:val="center"/>
                    <w:rPr>
                      <w:rFonts w:ascii="宋体" w:hAnsi="宋体"/>
                      <w:color w:val="000000" w:themeColor="text1"/>
                      <w:szCs w:val="21"/>
                    </w:rPr>
                  </w:pPr>
                </w:p>
              </w:tc>
              <w:tc>
                <w:tcPr>
                  <w:tcW w:w="2174" w:type="dxa"/>
                  <w:vMerge w:val="continue"/>
                  <w:vAlign w:val="center"/>
                </w:tcPr>
                <w:p>
                  <w:pPr>
                    <w:jc w:val="center"/>
                    <w:rPr>
                      <w:rFonts w:ascii="宋体" w:hAnsi="宋体"/>
                      <w:color w:val="000000" w:themeColor="text1"/>
                      <w:szCs w:val="21"/>
                    </w:rPr>
                  </w:pPr>
                </w:p>
              </w:tc>
              <w:tc>
                <w:tcPr>
                  <w:tcW w:w="1915" w:type="dxa"/>
                  <w:vMerge w:val="continue"/>
                  <w:vAlign w:val="center"/>
                </w:tcPr>
                <w:p>
                  <w:pPr>
                    <w:jc w:val="center"/>
                    <w:rPr>
                      <w:rFonts w:ascii="宋体" w:hAnsi="宋体"/>
                      <w:bCs/>
                      <w:color w:val="000000" w:themeColor="text1"/>
                    </w:rPr>
                  </w:pPr>
                </w:p>
              </w:tc>
              <w:tc>
                <w:tcPr>
                  <w:tcW w:w="973" w:type="dxa"/>
                  <w:vMerge w:val="continue"/>
                  <w:vAlign w:val="center"/>
                </w:tcPr>
                <w:p>
                  <w:pPr>
                    <w:jc w:val="center"/>
                    <w:rPr>
                      <w:rFonts w:ascii="宋体" w:hAnsi="宋体"/>
                      <w:bCs/>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78" w:type="dxa"/>
                  <w:vAlign w:val="center"/>
                </w:tcPr>
                <w:p>
                  <w:pPr>
                    <w:jc w:val="center"/>
                    <w:rPr>
                      <w:rFonts w:ascii="宋体" w:hAnsi="宋体"/>
                      <w:color w:val="000000" w:themeColor="text1"/>
                      <w:szCs w:val="21"/>
                    </w:rPr>
                  </w:pPr>
                  <w:r>
                    <w:rPr>
                      <w:rFonts w:hint="eastAsia" w:ascii="宋体" w:hAnsi="宋体"/>
                      <w:color w:val="000000" w:themeColor="text1"/>
                      <w:szCs w:val="21"/>
                    </w:rPr>
                    <w:t>噪声</w:t>
                  </w:r>
                </w:p>
              </w:tc>
              <w:tc>
                <w:tcPr>
                  <w:tcW w:w="1332" w:type="dxa"/>
                  <w:vAlign w:val="center"/>
                </w:tcPr>
                <w:p>
                  <w:pPr>
                    <w:jc w:val="center"/>
                    <w:rPr>
                      <w:rFonts w:ascii="宋体" w:hAnsi="宋体"/>
                      <w:color w:val="000000" w:themeColor="text1"/>
                      <w:szCs w:val="21"/>
                    </w:rPr>
                  </w:pPr>
                  <w:r>
                    <w:rPr>
                      <w:rFonts w:hint="eastAsia" w:ascii="宋体" w:hAnsi="宋体"/>
                      <w:color w:val="000000" w:themeColor="text1"/>
                    </w:rPr>
                    <w:t>设备噪声</w:t>
                  </w:r>
                </w:p>
              </w:tc>
              <w:tc>
                <w:tcPr>
                  <w:tcW w:w="1323" w:type="dxa"/>
                  <w:vAlign w:val="center"/>
                </w:tcPr>
                <w:p>
                  <w:pPr>
                    <w:jc w:val="center"/>
                    <w:rPr>
                      <w:rFonts w:ascii="宋体" w:hAnsi="宋体"/>
                      <w:color w:val="000000" w:themeColor="text1"/>
                      <w:szCs w:val="21"/>
                    </w:rPr>
                  </w:pPr>
                  <w:r>
                    <w:rPr>
                      <w:rFonts w:hint="eastAsia" w:ascii="宋体" w:hAnsi="宋体"/>
                      <w:color w:val="000000" w:themeColor="text1"/>
                      <w:szCs w:val="21"/>
                    </w:rPr>
                    <w:t>噪声</w:t>
                  </w:r>
                </w:p>
              </w:tc>
              <w:tc>
                <w:tcPr>
                  <w:tcW w:w="776" w:type="dxa"/>
                  <w:vAlign w:val="center"/>
                </w:tcPr>
                <w:p>
                  <w:pPr>
                    <w:jc w:val="center"/>
                    <w:rPr>
                      <w:rFonts w:ascii="宋体" w:hAnsi="宋体"/>
                      <w:color w:val="000000" w:themeColor="text1"/>
                      <w:szCs w:val="21"/>
                    </w:rPr>
                  </w:pPr>
                  <w:r>
                    <w:rPr>
                      <w:rFonts w:hint="eastAsia" w:ascii="宋体" w:hAnsi="宋体"/>
                      <w:color w:val="000000" w:themeColor="text1"/>
                      <w:szCs w:val="21"/>
                    </w:rPr>
                    <w:t>间断</w:t>
                  </w:r>
                </w:p>
              </w:tc>
              <w:tc>
                <w:tcPr>
                  <w:tcW w:w="2174" w:type="dxa"/>
                  <w:vAlign w:val="center"/>
                </w:tcPr>
                <w:p>
                  <w:pPr>
                    <w:jc w:val="center"/>
                    <w:rPr>
                      <w:rFonts w:ascii="宋体" w:hAnsi="宋体"/>
                      <w:color w:val="000000" w:themeColor="text1"/>
                      <w:szCs w:val="21"/>
                    </w:rPr>
                  </w:pPr>
                  <w:r>
                    <w:rPr>
                      <w:rFonts w:hint="eastAsia" w:ascii="宋体" w:hAnsi="宋体" w:cs="宋体"/>
                      <w:color w:val="000000" w:themeColor="text1"/>
                      <w:szCs w:val="21"/>
                    </w:rPr>
                    <w:t>低噪声设备、</w:t>
                  </w:r>
                  <w:r>
                    <w:rPr>
                      <w:rFonts w:hint="eastAsia" w:ascii="宋体" w:hAnsi="宋体" w:cs="宋体"/>
                      <w:color w:val="000000" w:themeColor="text1"/>
                      <w:kern w:val="0"/>
                      <w:szCs w:val="21"/>
                    </w:rPr>
                    <w:t>减震隔声</w:t>
                  </w:r>
                </w:p>
              </w:tc>
              <w:tc>
                <w:tcPr>
                  <w:tcW w:w="1915" w:type="dxa"/>
                  <w:vAlign w:val="center"/>
                </w:tcPr>
                <w:p>
                  <w:pPr>
                    <w:jc w:val="center"/>
                    <w:rPr>
                      <w:rFonts w:ascii="宋体" w:hAnsi="宋体"/>
                      <w:bCs/>
                      <w:color w:val="000000" w:themeColor="text1"/>
                      <w:szCs w:val="21"/>
                    </w:rPr>
                  </w:pPr>
                  <w:r>
                    <w:rPr>
                      <w:rFonts w:hint="eastAsia" w:ascii="宋体" w:hAnsi="宋体" w:cs="宋体"/>
                      <w:color w:val="000000" w:themeColor="text1"/>
                      <w:szCs w:val="21"/>
                    </w:rPr>
                    <w:t>低噪声设备、</w:t>
                  </w:r>
                  <w:r>
                    <w:rPr>
                      <w:rFonts w:hint="eastAsia" w:ascii="宋体" w:hAnsi="宋体" w:cs="宋体"/>
                      <w:color w:val="000000" w:themeColor="text1"/>
                      <w:kern w:val="0"/>
                      <w:szCs w:val="21"/>
                    </w:rPr>
                    <w:t>减震隔声</w:t>
                  </w:r>
                </w:p>
              </w:tc>
              <w:tc>
                <w:tcPr>
                  <w:tcW w:w="973" w:type="dxa"/>
                  <w:vAlign w:val="center"/>
                </w:tcPr>
                <w:p>
                  <w:pPr>
                    <w:jc w:val="center"/>
                    <w:rPr>
                      <w:rFonts w:ascii="宋体" w:hAnsi="宋体"/>
                      <w:bCs/>
                      <w:color w:val="000000" w:themeColor="text1"/>
                    </w:rPr>
                  </w:pPr>
                  <w:r>
                    <w:rPr>
                      <w:rFonts w:hint="eastAsia" w:ascii="宋体" w:hAnsi="宋体"/>
                      <w:bCs/>
                      <w:color w:val="000000" w:themeColor="text1"/>
                    </w:rPr>
                    <w:t>距离</w:t>
                  </w:r>
                </w:p>
                <w:p>
                  <w:pPr>
                    <w:jc w:val="center"/>
                    <w:rPr>
                      <w:rFonts w:ascii="宋体" w:hAnsi="宋体"/>
                      <w:bCs/>
                      <w:color w:val="000000" w:themeColor="text1"/>
                    </w:rPr>
                  </w:pPr>
                  <w:r>
                    <w:rPr>
                      <w:rFonts w:hint="eastAsia" w:ascii="宋体" w:hAnsi="宋体"/>
                      <w:bCs/>
                      <w:color w:val="000000" w:themeColor="text1"/>
                    </w:rPr>
                    <w:t>衰减</w:t>
                  </w:r>
                </w:p>
              </w:tc>
            </w:tr>
          </w:tbl>
          <w:p>
            <w:pPr>
              <w:jc w:val="center"/>
              <w:rPr>
                <w:rFonts w:ascii="黑体" w:eastAsia="黑体"/>
                <w:color w:val="FF0000"/>
                <w:sz w:val="24"/>
              </w:rPr>
            </w:pPr>
          </w:p>
        </w:tc>
      </w:tr>
    </w:tbl>
    <w:p>
      <w:pPr>
        <w:rPr>
          <w:b/>
          <w:color w:val="FF0000"/>
          <w:sz w:val="28"/>
          <w:szCs w:val="28"/>
        </w:rPr>
        <w:sectPr>
          <w:footerReference r:id="rId15" w:type="default"/>
          <w:pgSz w:w="11906" w:h="16838"/>
          <w:pgMar w:top="1440" w:right="1588" w:bottom="1134" w:left="1588" w:header="851" w:footer="992" w:gutter="0"/>
          <w:cols w:space="720" w:num="1"/>
          <w:docGrid w:linePitch="312" w:charSpace="0"/>
        </w:sectPr>
      </w:pPr>
    </w:p>
    <w:p>
      <w:pPr>
        <w:outlineLvl w:val="0"/>
        <w:rPr>
          <w:b/>
          <w:color w:val="000000" w:themeColor="text1"/>
          <w:sz w:val="28"/>
          <w:szCs w:val="28"/>
        </w:rPr>
      </w:pPr>
      <w:bookmarkStart w:id="85" w:name="_Toc4229"/>
      <w:bookmarkStart w:id="86" w:name="_Toc30070"/>
      <w:bookmarkStart w:id="87" w:name="_Toc29728"/>
      <w:bookmarkStart w:id="88" w:name="_Toc7848_WPSOffice_Level1"/>
      <w:bookmarkStart w:id="89" w:name="_Toc30161"/>
      <w:bookmarkStart w:id="90" w:name="_Toc27286"/>
      <w:bookmarkStart w:id="91" w:name="_Toc2800"/>
      <w:bookmarkStart w:id="92" w:name="_Toc10489"/>
      <w:bookmarkStart w:id="93" w:name="_Toc21122"/>
      <w:bookmarkStart w:id="94" w:name="_Toc29356"/>
      <w:bookmarkStart w:id="95" w:name="_Toc8996"/>
      <w:r>
        <w:rPr>
          <w:rFonts w:hint="eastAsia"/>
          <w:b/>
          <w:color w:val="000000" w:themeColor="text1"/>
          <w:sz w:val="28"/>
          <w:szCs w:val="28"/>
        </w:rPr>
        <w:t>表四  环评主要结论及审批部门审批决定</w:t>
      </w:r>
      <w:bookmarkEnd w:id="85"/>
      <w:bookmarkEnd w:id="86"/>
      <w:bookmarkEnd w:id="87"/>
      <w:bookmarkEnd w:id="88"/>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numPr>
                <w:ilvl w:val="0"/>
                <w:numId w:val="4"/>
              </w:numPr>
              <w:rPr>
                <w:rFonts w:ascii="宋体" w:hAnsi="宋体" w:cs="宋体"/>
                <w:b/>
                <w:bCs/>
                <w:color w:val="000000" w:themeColor="text1"/>
                <w:sz w:val="24"/>
              </w:rPr>
            </w:pPr>
            <w:r>
              <w:rPr>
                <w:rFonts w:hint="eastAsia" w:ascii="宋体" w:hAnsi="宋体" w:cs="宋体"/>
                <w:b/>
                <w:bCs/>
                <w:color w:val="000000" w:themeColor="text1"/>
                <w:sz w:val="24"/>
              </w:rPr>
              <w:t>环评结论：</w:t>
            </w:r>
          </w:p>
          <w:p>
            <w:p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本项目符合产业政策，符合先关规划，符合清洁生产原则，项目产生的污染物可实现达标排放，对周围的大气、水、声环境影响较小，因此，从环境保护的角度考虑，本项目是可行的。</w:t>
            </w:r>
          </w:p>
          <w:p>
            <w:pPr>
              <w:numPr>
                <w:ilvl w:val="0"/>
                <w:numId w:val="4"/>
              </w:numPr>
              <w:adjustRightInd w:val="0"/>
              <w:snapToGrid w:val="0"/>
              <w:spacing w:line="360" w:lineRule="auto"/>
              <w:rPr>
                <w:rFonts w:ascii="宋体" w:hAnsi="宋体" w:cs="宋体"/>
                <w:b/>
                <w:snapToGrid w:val="0"/>
                <w:color w:val="000000" w:themeColor="text1"/>
                <w:kern w:val="0"/>
                <w:sz w:val="24"/>
              </w:rPr>
            </w:pPr>
            <w:r>
              <w:rPr>
                <w:rFonts w:hint="eastAsia" w:ascii="宋体" w:hAnsi="宋体" w:cs="宋体"/>
                <w:b/>
                <w:snapToGrid w:val="0"/>
                <w:color w:val="000000" w:themeColor="text1"/>
                <w:kern w:val="0"/>
                <w:sz w:val="24"/>
              </w:rPr>
              <w:t>环评建议与要求</w:t>
            </w:r>
          </w:p>
          <w:p>
            <w:pPr>
              <w:numPr>
                <w:ilvl w:val="0"/>
                <w:numId w:val="5"/>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建设单位在项目施工过程中会对环境造成短期影响，在施工过程中须严格按照上述防治措施进行，将影响减到最小。</w:t>
            </w:r>
          </w:p>
          <w:p>
            <w:pPr>
              <w:numPr>
                <w:ilvl w:val="0"/>
                <w:numId w:val="5"/>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建设单位在项目实施过程中，务必认真落实本项目的各项治理措施，加强对环保设施的运行管理，制定有效的管理规章制度，落实到人，确保环保设施的正常运转，使污染物排放量达到污染物排放总量控制指标的要求。公司应十分重视引进和建立先进的环保管路模式，完善管理机制，强化企业职工自身的环保意识。</w:t>
            </w:r>
          </w:p>
          <w:p>
            <w:pPr>
              <w:adjustRightInd w:val="0"/>
              <w:spacing w:line="360" w:lineRule="auto"/>
              <w:textAlignment w:val="baseline"/>
              <w:rPr>
                <w:rFonts w:ascii="宋体" w:hAnsi="宋体" w:cs="宋体"/>
                <w:b/>
                <w:snapToGrid w:val="0"/>
                <w:color w:val="000000" w:themeColor="text1"/>
                <w:kern w:val="0"/>
                <w:sz w:val="24"/>
              </w:rPr>
            </w:pPr>
            <w:r>
              <w:rPr>
                <w:rFonts w:hint="eastAsia" w:ascii="宋体" w:hAnsi="宋体" w:cs="宋体"/>
                <w:b/>
                <w:snapToGrid w:val="0"/>
                <w:color w:val="000000" w:themeColor="text1"/>
                <w:kern w:val="0"/>
                <w:sz w:val="24"/>
              </w:rPr>
              <w:t>三、环评批复</w:t>
            </w:r>
          </w:p>
          <w:p>
            <w:p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你公司报批的《自承式轻质钢筋桁架楼承板（第五代）生产线项目环境影响报告表》收悉，根据环评结论，并经局项目审查小组会议研究，从环境保护角度考虑，同意环评文件所述该项目建设的可行性。</w:t>
            </w:r>
          </w:p>
          <w:p>
            <w:pPr>
              <w:numPr>
                <w:ilvl w:val="0"/>
                <w:numId w:val="6"/>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该项目地址位于六合经济开发区新港湾路以东、云海玻璃以西，占地面积29291平方米，总投资20000万元，建设厂房及附属设施为22461平方米，新上自承式轻质钢筋桁架楼承板（第五代）生产线项目。</w:t>
            </w:r>
          </w:p>
          <w:p>
            <w:pPr>
              <w:numPr>
                <w:ilvl w:val="0"/>
                <w:numId w:val="6"/>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原则同意环评结论和建议，环评所提各项污染防治措施基本可行，可作为项目工程设计、建设和环境管理的依据。建设单位须在项目实施时认真执行，并重点做好以下几项工作：</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厂区排水实行雨污分流，分别设雨污水排口各一个。雨水排入六合经济开发区雨水管网；隔油隔渣后食堂废水和生活污水达《污水综合排放标准》（GB8978-1996）表4中三级标准，其中氨氮、总磷参照执行《污水排入城镇下水道水质标准》（CJ343-2010）中B等级标准后排入经济开发区污水管网至六合区污水处理厂深度处理。</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通过安装排风扇，加强车间通风等措施，减少焊接烟尘无组织排放，切割金属粉尘自然沉降后及时清扫，废气执行《大气污染物综合排放标准》（GB16297-1996）表2中无组织排放监控浓度限值。</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有先选用低噪声设备，各噪声源需落实减振隔声等降噪措施，同时合理布局噪声</w:t>
            </w:r>
          </w:p>
        </w:tc>
      </w:tr>
    </w:tbl>
    <w:p>
      <w:pPr>
        <w:rPr>
          <w:b/>
          <w:color w:val="000000" w:themeColor="text1"/>
          <w:sz w:val="28"/>
          <w:szCs w:val="28"/>
        </w:rPr>
      </w:pPr>
      <w:bookmarkStart w:id="96" w:name="_Toc14870"/>
      <w:bookmarkStart w:id="97" w:name="_Toc21284_WPSOffice_Level1"/>
      <w:bookmarkStart w:id="98" w:name="_Toc2690"/>
      <w:bookmarkStart w:id="99" w:name="_Toc5792"/>
      <w:r>
        <w:rPr>
          <w:rFonts w:hint="eastAsia"/>
          <w:b/>
          <w:color w:val="000000" w:themeColor="text1"/>
          <w:sz w:val="28"/>
          <w:szCs w:val="28"/>
        </w:rPr>
        <w:t>续表四</w:t>
      </w:r>
      <w:bookmarkEnd w:id="96"/>
      <w:bookmarkEnd w:id="97"/>
      <w:bookmarkEnd w:id="98"/>
      <w:bookmarkEnd w:id="99"/>
    </w:p>
    <w:tbl>
      <w:tblPr>
        <w:tblStyle w:val="13"/>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trPr>
        <w:tc>
          <w:tcPr>
            <w:tcW w:w="9354" w:type="dxa"/>
          </w:tcPr>
          <w:p>
            <w:pPr>
              <w:rPr>
                <w:b/>
                <w:color w:val="FF0000"/>
                <w:sz w:val="28"/>
                <w:szCs w:val="28"/>
              </w:rPr>
            </w:pPr>
          </w:p>
          <w:p>
            <w:pPr>
              <w:adjustRightInd w:val="0"/>
              <w:snapToGrid w:val="0"/>
              <w:spacing w:line="360" w:lineRule="auto"/>
              <w:rPr>
                <w:rFonts w:ascii="宋体" w:hAnsi="宋体" w:cs="宋体"/>
                <w:color w:val="000000" w:themeColor="text1"/>
                <w:sz w:val="24"/>
              </w:rPr>
            </w:pPr>
            <w:r>
              <w:rPr>
                <w:rFonts w:hint="eastAsia" w:ascii="宋体" w:hAnsi="宋体" w:cs="宋体"/>
                <w:color w:val="000000" w:themeColor="text1"/>
                <w:sz w:val="24"/>
              </w:rPr>
              <w:t>设备的位置，厂界噪声执行《工业企业厂界噪声排放标准》（GB12348-2008）中2类标准。</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落实固体废物分类收集、综合利用和安全处置措施。边角料、收集粉尘、废焊条综合利用；废机油、废油手套等危险废物应按要求分类收集、规范存贮，落实“防扬散、防流失、防渗漏”措施，并交由有资质单位处置，办理危险废物转移手续；生活垃圾等经收集后由环卫部门统一处理。</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水污染物排放口应设置便于采样的监测点和排污口标志，并按要求进行规范化设置。</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落实环评报告中提出的施工期环境保护措施，防止施工期扬尘和噪声对周围环境造成不利影响。</w:t>
            </w:r>
          </w:p>
          <w:p>
            <w:pPr>
              <w:numPr>
                <w:ilvl w:val="0"/>
                <w:numId w:val="7"/>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根据环评报告，该项目防腐喷漆工序委外加工。</w:t>
            </w:r>
          </w:p>
          <w:p>
            <w:pPr>
              <w:numPr>
                <w:ilvl w:val="0"/>
                <w:numId w:val="6"/>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项目建成后，污染物排放控制指标为：废水量3360t/a，废水实行浓度控制。</w:t>
            </w:r>
          </w:p>
          <w:p>
            <w:pPr>
              <w:numPr>
                <w:ilvl w:val="0"/>
                <w:numId w:val="6"/>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项目建设须严格执行配套建设的环境保护设施与主体工程同时设计、同时施工、同时投产使用的环境保护“三同时”制度。项目竣工后，须到环保局办理试生产核准手续，并在试生产三个月内完成验收监测及环保专项验收工作，项目验收合格后方可投入正式生产。</w:t>
            </w:r>
          </w:p>
          <w:p>
            <w:pPr>
              <w:numPr>
                <w:ilvl w:val="0"/>
                <w:numId w:val="6"/>
              </w:numPr>
              <w:adjustRightInd w:val="0"/>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本批复自下达之日起，项目的性质、规模、地点、采用的生产工艺或者防治污染、防止生态破坏的措施发生重大变动的，或五年后方开工建设的，应当重新报批项目的环境影响评价文件。</w:t>
            </w:r>
          </w:p>
          <w:p>
            <w:pPr>
              <w:rPr>
                <w:b/>
                <w:color w:val="FF0000"/>
                <w:sz w:val="28"/>
                <w:szCs w:val="28"/>
              </w:rPr>
            </w:pPr>
          </w:p>
        </w:tc>
      </w:tr>
    </w:tbl>
    <w:p>
      <w:pPr>
        <w:outlineLvl w:val="0"/>
        <w:rPr>
          <w:b/>
          <w:color w:val="000000" w:themeColor="text1"/>
          <w:sz w:val="28"/>
          <w:szCs w:val="28"/>
        </w:rPr>
      </w:pPr>
      <w:bookmarkStart w:id="100" w:name="_Toc27480"/>
      <w:bookmarkStart w:id="101" w:name="_Toc25803"/>
      <w:bookmarkStart w:id="102" w:name="_Toc29798"/>
      <w:bookmarkStart w:id="103" w:name="_Toc4723_WPSOffice_Level1"/>
      <w:r>
        <w:rPr>
          <w:rFonts w:hint="eastAsia"/>
          <w:b/>
          <w:color w:val="000000" w:themeColor="text1"/>
          <w:sz w:val="28"/>
          <w:szCs w:val="28"/>
        </w:rPr>
        <w:t>表五 验收监测内容及排放标准值</w:t>
      </w:r>
      <w:bookmarkEnd w:id="89"/>
      <w:bookmarkEnd w:id="90"/>
      <w:bookmarkEnd w:id="91"/>
      <w:bookmarkEnd w:id="92"/>
      <w:bookmarkEnd w:id="93"/>
      <w:bookmarkEnd w:id="94"/>
      <w:bookmarkEnd w:id="95"/>
      <w:bookmarkEnd w:id="100"/>
      <w:bookmarkEnd w:id="101"/>
      <w:bookmarkEnd w:id="102"/>
      <w:bookmarkEnd w:id="103"/>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jc w:val="center"/>
              <w:rPr>
                <w:rFonts w:ascii="黑体" w:eastAsia="黑体"/>
                <w:color w:val="000000" w:themeColor="text1"/>
                <w:sz w:val="24"/>
              </w:rPr>
            </w:pPr>
            <w:r>
              <w:rPr>
                <w:rFonts w:hint="eastAsia" w:ascii="黑体" w:eastAsia="黑体"/>
                <w:color w:val="000000" w:themeColor="text1"/>
                <w:sz w:val="24"/>
              </w:rPr>
              <w:t>表5-1监测点位、项目、频次</w:t>
            </w:r>
          </w:p>
          <w:tbl>
            <w:tblPr>
              <w:tblStyle w:val="12"/>
              <w:tblW w:w="9071" w:type="dxa"/>
              <w:jc w:val="center"/>
              <w:tblInd w:w="4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555"/>
              <w:gridCol w:w="2807"/>
              <w:gridCol w:w="870"/>
              <w:gridCol w:w="1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tcBorders>
                    <w:tl2br w:val="nil"/>
                    <w:tr2bl w:val="nil"/>
                  </w:tcBorders>
                  <w:vAlign w:val="center"/>
                </w:tcPr>
                <w:p>
                  <w:pPr>
                    <w:spacing w:line="240" w:lineRule="exact"/>
                    <w:rPr>
                      <w:rFonts w:ascii="宋体" w:hAnsi="宋体"/>
                      <w:b/>
                      <w:bCs/>
                      <w:color w:val="000000" w:themeColor="text1"/>
                      <w:szCs w:val="21"/>
                    </w:rPr>
                  </w:pPr>
                  <w:bookmarkStart w:id="104" w:name="OLE_LINK3"/>
                  <w:r>
                    <w:rPr>
                      <w:rFonts w:hint="eastAsia" w:ascii="宋体" w:hAnsi="宋体"/>
                      <w:b/>
                      <w:bCs/>
                      <w:color w:val="000000" w:themeColor="text1"/>
                      <w:szCs w:val="21"/>
                    </w:rPr>
                    <w:t>污染</w:t>
                  </w:r>
                </w:p>
                <w:p>
                  <w:pPr>
                    <w:spacing w:line="240" w:lineRule="exact"/>
                    <w:rPr>
                      <w:rFonts w:ascii="宋体" w:hAnsi="宋体"/>
                      <w:b/>
                      <w:bCs/>
                      <w:color w:val="000000" w:themeColor="text1"/>
                      <w:szCs w:val="21"/>
                    </w:rPr>
                  </w:pPr>
                  <w:r>
                    <w:rPr>
                      <w:rFonts w:hint="eastAsia" w:ascii="宋体" w:hAnsi="宋体"/>
                      <w:b/>
                      <w:bCs/>
                      <w:color w:val="000000" w:themeColor="text1"/>
                      <w:szCs w:val="21"/>
                    </w:rPr>
                    <w:t>种类</w:t>
                  </w:r>
                </w:p>
              </w:tc>
              <w:tc>
                <w:tcPr>
                  <w:tcW w:w="2555" w:type="dxa"/>
                  <w:tcBorders>
                    <w:tl2br w:val="nil"/>
                    <w:tr2bl w:val="nil"/>
                  </w:tcBorders>
                  <w:vAlign w:val="center"/>
                </w:tcPr>
                <w:p>
                  <w:pPr>
                    <w:spacing w:line="240" w:lineRule="exact"/>
                    <w:jc w:val="center"/>
                    <w:rPr>
                      <w:rFonts w:ascii="宋体" w:hAnsi="宋体"/>
                      <w:b/>
                      <w:bCs/>
                      <w:color w:val="000000" w:themeColor="text1"/>
                      <w:szCs w:val="21"/>
                    </w:rPr>
                  </w:pPr>
                  <w:r>
                    <w:rPr>
                      <w:rFonts w:hint="eastAsia" w:ascii="宋体" w:hAnsi="宋体"/>
                      <w:b/>
                      <w:bCs/>
                      <w:color w:val="000000" w:themeColor="text1"/>
                      <w:szCs w:val="21"/>
                    </w:rPr>
                    <w:t>测点位置</w:t>
                  </w:r>
                </w:p>
              </w:tc>
              <w:tc>
                <w:tcPr>
                  <w:tcW w:w="2807" w:type="dxa"/>
                  <w:tcBorders>
                    <w:tl2br w:val="nil"/>
                    <w:tr2bl w:val="nil"/>
                  </w:tcBorders>
                  <w:vAlign w:val="center"/>
                </w:tcPr>
                <w:p>
                  <w:pPr>
                    <w:spacing w:line="240" w:lineRule="exact"/>
                    <w:jc w:val="center"/>
                    <w:rPr>
                      <w:rFonts w:ascii="宋体" w:hAnsi="宋体"/>
                      <w:b/>
                      <w:bCs/>
                      <w:color w:val="000000" w:themeColor="text1"/>
                      <w:szCs w:val="21"/>
                    </w:rPr>
                  </w:pPr>
                  <w:r>
                    <w:rPr>
                      <w:rFonts w:hint="eastAsia" w:ascii="宋体" w:hAnsi="宋体"/>
                      <w:b/>
                      <w:bCs/>
                      <w:color w:val="000000" w:themeColor="text1"/>
                      <w:szCs w:val="21"/>
                    </w:rPr>
                    <w:t>监测项目</w:t>
                  </w:r>
                </w:p>
              </w:tc>
              <w:tc>
                <w:tcPr>
                  <w:tcW w:w="870" w:type="dxa"/>
                  <w:tcBorders>
                    <w:tl2br w:val="nil"/>
                    <w:tr2bl w:val="nil"/>
                  </w:tcBorders>
                  <w:vAlign w:val="center"/>
                </w:tcPr>
                <w:p>
                  <w:pPr>
                    <w:spacing w:line="240" w:lineRule="exact"/>
                    <w:jc w:val="center"/>
                    <w:rPr>
                      <w:rFonts w:ascii="宋体" w:hAnsi="宋体"/>
                      <w:b/>
                      <w:bCs/>
                      <w:color w:val="000000" w:themeColor="text1"/>
                      <w:szCs w:val="21"/>
                    </w:rPr>
                  </w:pPr>
                  <w:r>
                    <w:rPr>
                      <w:rFonts w:hint="eastAsia" w:ascii="宋体" w:hAnsi="宋体"/>
                      <w:b/>
                      <w:bCs/>
                      <w:color w:val="000000" w:themeColor="text1"/>
                      <w:szCs w:val="21"/>
                    </w:rPr>
                    <w:t>布点</w:t>
                  </w:r>
                </w:p>
                <w:p>
                  <w:pPr>
                    <w:spacing w:line="240" w:lineRule="exact"/>
                    <w:jc w:val="center"/>
                    <w:rPr>
                      <w:rFonts w:ascii="宋体" w:hAnsi="宋体"/>
                      <w:b/>
                      <w:bCs/>
                      <w:color w:val="000000" w:themeColor="text1"/>
                      <w:szCs w:val="21"/>
                    </w:rPr>
                  </w:pPr>
                  <w:r>
                    <w:rPr>
                      <w:rFonts w:hint="eastAsia" w:ascii="宋体" w:hAnsi="宋体"/>
                      <w:b/>
                      <w:bCs/>
                      <w:color w:val="000000" w:themeColor="text1"/>
                      <w:szCs w:val="21"/>
                    </w:rPr>
                    <w:t>个数</w:t>
                  </w:r>
                </w:p>
              </w:tc>
              <w:tc>
                <w:tcPr>
                  <w:tcW w:w="1821" w:type="dxa"/>
                  <w:tcBorders>
                    <w:tl2br w:val="nil"/>
                    <w:tr2bl w:val="nil"/>
                  </w:tcBorders>
                  <w:vAlign w:val="center"/>
                </w:tcPr>
                <w:p>
                  <w:pPr>
                    <w:spacing w:line="240" w:lineRule="exact"/>
                    <w:jc w:val="center"/>
                    <w:rPr>
                      <w:rFonts w:ascii="宋体" w:hAnsi="宋体"/>
                      <w:b/>
                      <w:bCs/>
                      <w:color w:val="000000" w:themeColor="text1"/>
                      <w:szCs w:val="21"/>
                    </w:rPr>
                  </w:pPr>
                  <w:r>
                    <w:rPr>
                      <w:rFonts w:hint="eastAsia" w:ascii="宋体" w:hAnsi="宋体"/>
                      <w:b/>
                      <w:bCs/>
                      <w:color w:val="000000" w:themeColor="text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18" w:type="dxa"/>
                  <w:vMerge w:val="restart"/>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废水</w:t>
                  </w:r>
                </w:p>
              </w:tc>
              <w:tc>
                <w:tcPr>
                  <w:tcW w:w="2555"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废水排口（S1）</w:t>
                  </w:r>
                </w:p>
              </w:tc>
              <w:tc>
                <w:tcPr>
                  <w:tcW w:w="2807"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pH、化学需氧量、悬浮物、氨氮、总磷、动植物油</w:t>
                  </w:r>
                </w:p>
              </w:tc>
              <w:tc>
                <w:tcPr>
                  <w:tcW w:w="87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w:t>
                  </w:r>
                </w:p>
              </w:tc>
              <w:tc>
                <w:tcPr>
                  <w:tcW w:w="182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4次/天，2天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18" w:type="dxa"/>
                  <w:vMerge w:val="continue"/>
                  <w:tcBorders>
                    <w:tl2br w:val="nil"/>
                    <w:tr2bl w:val="nil"/>
                  </w:tcBorders>
                  <w:vAlign w:val="center"/>
                </w:tcPr>
                <w:p>
                  <w:pPr>
                    <w:jc w:val="center"/>
                    <w:rPr>
                      <w:rFonts w:ascii="宋体" w:hAnsi="宋体" w:cs="宋体"/>
                      <w:color w:val="000000" w:themeColor="text1"/>
                      <w:szCs w:val="21"/>
                    </w:rPr>
                  </w:pPr>
                </w:p>
              </w:tc>
              <w:tc>
                <w:tcPr>
                  <w:tcW w:w="2555"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雨水排口（S2）</w:t>
                  </w:r>
                </w:p>
              </w:tc>
              <w:tc>
                <w:tcPr>
                  <w:tcW w:w="2807"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pH、COD</w:t>
                  </w:r>
                  <w:r>
                    <w:rPr>
                      <w:rFonts w:hint="eastAsia" w:ascii="宋体" w:hAnsi="宋体"/>
                      <w:color w:val="000000" w:themeColor="text1"/>
                      <w:szCs w:val="21"/>
                      <w:vertAlign w:val="subscript"/>
                    </w:rPr>
                    <w:t>cr</w:t>
                  </w:r>
                </w:p>
              </w:tc>
              <w:tc>
                <w:tcPr>
                  <w:tcW w:w="87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w:t>
                  </w:r>
                </w:p>
              </w:tc>
              <w:tc>
                <w:tcPr>
                  <w:tcW w:w="182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2次/天，2天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18"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有组织废气</w:t>
                  </w:r>
                </w:p>
              </w:tc>
              <w:tc>
                <w:tcPr>
                  <w:tcW w:w="2555"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食堂油烟排口（Q1）</w:t>
                  </w:r>
                </w:p>
              </w:tc>
              <w:tc>
                <w:tcPr>
                  <w:tcW w:w="2807"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饮食业油烟</w:t>
                  </w:r>
                </w:p>
              </w:tc>
              <w:tc>
                <w:tcPr>
                  <w:tcW w:w="87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w:t>
                  </w:r>
                </w:p>
              </w:tc>
              <w:tc>
                <w:tcPr>
                  <w:tcW w:w="182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5次/天，2天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18" w:type="dxa"/>
                  <w:tcBorders>
                    <w:tl2br w:val="nil"/>
                    <w:tr2bl w:val="nil"/>
                  </w:tcBorders>
                  <w:vAlign w:val="center"/>
                </w:tcPr>
                <w:p>
                  <w:pPr>
                    <w:jc w:val="center"/>
                    <w:rPr>
                      <w:color w:val="000000" w:themeColor="text1"/>
                    </w:rPr>
                  </w:pPr>
                  <w:r>
                    <w:rPr>
                      <w:rFonts w:hint="eastAsia" w:ascii="宋体" w:hAnsi="宋体" w:cs="宋体"/>
                      <w:color w:val="000000" w:themeColor="text1"/>
                      <w:szCs w:val="21"/>
                    </w:rPr>
                    <w:t>无组织废气</w:t>
                  </w:r>
                </w:p>
              </w:tc>
              <w:tc>
                <w:tcPr>
                  <w:tcW w:w="2555"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上风向1个点、下风向3个点（Q2-Q5）</w:t>
                  </w:r>
                </w:p>
              </w:tc>
              <w:tc>
                <w:tcPr>
                  <w:tcW w:w="280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s="宋体"/>
                      <w:color w:val="000000" w:themeColor="text1"/>
                      <w:szCs w:val="21"/>
                    </w:rPr>
                    <w:t>总悬浮颗粒物</w:t>
                  </w:r>
                </w:p>
              </w:tc>
              <w:tc>
                <w:tcPr>
                  <w:tcW w:w="87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4</w:t>
                  </w:r>
                </w:p>
              </w:tc>
              <w:tc>
                <w:tcPr>
                  <w:tcW w:w="1821"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4次/天，2天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18"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噪声</w:t>
                  </w:r>
                </w:p>
              </w:tc>
              <w:tc>
                <w:tcPr>
                  <w:tcW w:w="2555"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厂界四周（Z1-Z4）</w:t>
                  </w:r>
                </w:p>
              </w:tc>
              <w:tc>
                <w:tcPr>
                  <w:tcW w:w="2807"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厂界噪声</w:t>
                  </w:r>
                </w:p>
              </w:tc>
              <w:tc>
                <w:tcPr>
                  <w:tcW w:w="870" w:type="dxa"/>
                  <w:tcBorders>
                    <w:tl2br w:val="nil"/>
                    <w:tr2bl w:val="nil"/>
                  </w:tcBorders>
                  <w:vAlign w:val="center"/>
                </w:tcPr>
                <w:p>
                  <w:pPr>
                    <w:jc w:val="center"/>
                    <w:rPr>
                      <w:rFonts w:ascii="宋体" w:hAnsi="宋体"/>
                      <w:color w:val="000000" w:themeColor="text1"/>
                      <w:szCs w:val="21"/>
                    </w:rPr>
                  </w:pPr>
                  <w:r>
                    <w:rPr>
                      <w:rFonts w:hint="eastAsia" w:ascii="宋体" w:hAnsi="宋体" w:cs="宋体"/>
                      <w:color w:val="000000" w:themeColor="text1"/>
                      <w:szCs w:val="21"/>
                    </w:rPr>
                    <w:t>4</w:t>
                  </w:r>
                </w:p>
              </w:tc>
              <w:tc>
                <w:tcPr>
                  <w:tcW w:w="182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昼间2次，2天</w:t>
                  </w:r>
                </w:p>
              </w:tc>
            </w:tr>
            <w:bookmarkEnd w:id="104"/>
          </w:tbl>
          <w:p>
            <w:pPr>
              <w:rPr>
                <w:rFonts w:ascii="黑体" w:eastAsia="黑体"/>
                <w:color w:val="000000" w:themeColor="text1"/>
                <w:sz w:val="24"/>
              </w:rPr>
            </w:pPr>
          </w:p>
          <w:p>
            <w:pPr>
              <w:jc w:val="center"/>
              <w:rPr>
                <w:rFonts w:ascii="黑体" w:eastAsia="黑体"/>
                <w:color w:val="000000" w:themeColor="text1"/>
                <w:sz w:val="24"/>
              </w:rPr>
            </w:pPr>
            <w:r>
              <w:rPr>
                <w:rFonts w:hint="eastAsia" w:ascii="黑体" w:eastAsia="黑体"/>
                <w:color w:val="000000" w:themeColor="text1"/>
                <w:sz w:val="24"/>
              </w:rPr>
              <w:t>表5-2验收监测执行标准</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92"/>
              <w:gridCol w:w="2230"/>
              <w:gridCol w:w="3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60" w:type="dxa"/>
                  <w:gridSpan w:val="2"/>
                  <w:tcBorders>
                    <w:tl2br w:val="nil"/>
                    <w:tr2bl w:val="nil"/>
                  </w:tcBorders>
                  <w:vAlign w:val="center"/>
                </w:tcPr>
                <w:p>
                  <w:pPr>
                    <w:jc w:val="center"/>
                    <w:rPr>
                      <w:rFonts w:ascii="宋体" w:hAnsi="宋体"/>
                      <w:b/>
                      <w:bCs/>
                      <w:color w:val="000000" w:themeColor="text1"/>
                      <w:szCs w:val="21"/>
                    </w:rPr>
                  </w:pPr>
                  <w:r>
                    <w:rPr>
                      <w:rFonts w:hint="eastAsia" w:ascii="宋体" w:hAnsi="宋体"/>
                      <w:b/>
                      <w:bCs/>
                      <w:color w:val="000000" w:themeColor="text1"/>
                      <w:szCs w:val="21"/>
                    </w:rPr>
                    <w:t>监测因子</w:t>
                  </w:r>
                </w:p>
              </w:tc>
              <w:tc>
                <w:tcPr>
                  <w:tcW w:w="2230" w:type="dxa"/>
                  <w:tcBorders>
                    <w:tl2br w:val="nil"/>
                    <w:tr2bl w:val="nil"/>
                  </w:tcBorders>
                  <w:vAlign w:val="center"/>
                </w:tcPr>
                <w:p>
                  <w:pPr>
                    <w:jc w:val="center"/>
                    <w:rPr>
                      <w:rFonts w:ascii="宋体" w:hAnsi="宋体"/>
                      <w:b/>
                      <w:bCs/>
                      <w:color w:val="000000" w:themeColor="text1"/>
                      <w:szCs w:val="21"/>
                    </w:rPr>
                  </w:pPr>
                  <w:r>
                    <w:rPr>
                      <w:rFonts w:hint="eastAsia" w:ascii="宋体" w:hAnsi="宋体"/>
                      <w:b/>
                      <w:bCs/>
                      <w:color w:val="000000" w:themeColor="text1"/>
                      <w:szCs w:val="21"/>
                    </w:rPr>
                    <w:t>排放标准</w:t>
                  </w:r>
                </w:p>
              </w:tc>
              <w:tc>
                <w:tcPr>
                  <w:tcW w:w="3381" w:type="dxa"/>
                  <w:tcBorders>
                    <w:tl2br w:val="nil"/>
                    <w:tr2bl w:val="nil"/>
                  </w:tcBorders>
                  <w:vAlign w:val="center"/>
                </w:tcPr>
                <w:p>
                  <w:pPr>
                    <w:jc w:val="center"/>
                    <w:rPr>
                      <w:rFonts w:ascii="宋体" w:hAnsi="宋体"/>
                      <w:b/>
                      <w:bCs/>
                      <w:color w:val="000000" w:themeColor="text1"/>
                      <w:szCs w:val="21"/>
                    </w:rPr>
                  </w:pPr>
                  <w:r>
                    <w:rPr>
                      <w:rFonts w:hint="eastAsia" w:ascii="宋体" w:hAnsi="宋体"/>
                      <w:b/>
                      <w:bCs/>
                      <w:color w:val="000000" w:themeColor="text1"/>
                      <w:szCs w:val="21"/>
                    </w:rPr>
                    <w:t>标准依据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vMerge w:val="restart"/>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生活废水</w:t>
                  </w: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pH</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6-9（无量纲）</w:t>
                  </w:r>
                </w:p>
              </w:tc>
              <w:tc>
                <w:tcPr>
                  <w:tcW w:w="3381" w:type="dxa"/>
                  <w:vMerge w:val="restart"/>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《污水综合排放标准》（GB8978-1996）表4中3级标准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vMerge w:val="continue"/>
                  <w:tcBorders>
                    <w:tl2br w:val="nil"/>
                    <w:tr2bl w:val="nil"/>
                  </w:tcBorders>
                  <w:vAlign w:val="center"/>
                </w:tcPr>
                <w:p>
                  <w:pPr>
                    <w:jc w:val="center"/>
                    <w:rPr>
                      <w:color w:val="000000" w:themeColor="text1"/>
                      <w:szCs w:val="21"/>
                    </w:rPr>
                  </w:pP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化学需氧量</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500mg/L</w:t>
                  </w:r>
                </w:p>
              </w:tc>
              <w:tc>
                <w:tcPr>
                  <w:tcW w:w="3381" w:type="dxa"/>
                  <w:vMerge w:val="continue"/>
                  <w:tcBorders>
                    <w:tl2br w:val="nil"/>
                    <w:tr2bl w:val="nil"/>
                  </w:tcBorders>
                  <w:vAlign w:val="center"/>
                </w:tcPr>
                <w:p>
                  <w:pPr>
                    <w:jc w:val="center"/>
                    <w:rPr>
                      <w:rFonts w:ascii="宋体" w:hAnsi="宋体"/>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vMerge w:val="continue"/>
                  <w:tcBorders>
                    <w:tl2br w:val="nil"/>
                    <w:tr2bl w:val="nil"/>
                  </w:tcBorders>
                  <w:vAlign w:val="center"/>
                </w:tcPr>
                <w:p>
                  <w:pPr>
                    <w:jc w:val="center"/>
                    <w:rPr>
                      <w:rFonts w:ascii="宋体" w:hAnsi="宋体"/>
                      <w:color w:val="000000" w:themeColor="text1"/>
                      <w:szCs w:val="21"/>
                    </w:rPr>
                  </w:pP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悬浮物</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400mg/L</w:t>
                  </w:r>
                </w:p>
              </w:tc>
              <w:tc>
                <w:tcPr>
                  <w:tcW w:w="3381" w:type="dxa"/>
                  <w:vMerge w:val="continue"/>
                  <w:tcBorders>
                    <w:tl2br w:val="nil"/>
                    <w:tr2bl w:val="nil"/>
                  </w:tcBorders>
                  <w:vAlign w:val="center"/>
                </w:tcPr>
                <w:p>
                  <w:pPr>
                    <w:jc w:val="center"/>
                    <w:rPr>
                      <w:rFonts w:ascii="宋体" w:hAnsi="宋体"/>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vMerge w:val="continue"/>
                  <w:tcBorders>
                    <w:tl2br w:val="nil"/>
                    <w:tr2bl w:val="nil"/>
                  </w:tcBorders>
                  <w:vAlign w:val="center"/>
                </w:tcPr>
                <w:p>
                  <w:pPr>
                    <w:jc w:val="center"/>
                    <w:rPr>
                      <w:rFonts w:ascii="宋体" w:hAnsi="宋体"/>
                      <w:color w:val="000000" w:themeColor="text1"/>
                      <w:szCs w:val="21"/>
                    </w:rPr>
                  </w:pP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动植物油</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100mg/L</w:t>
                  </w:r>
                </w:p>
              </w:tc>
              <w:tc>
                <w:tcPr>
                  <w:tcW w:w="3381" w:type="dxa"/>
                  <w:vMerge w:val="continue"/>
                  <w:tcBorders>
                    <w:tl2br w:val="nil"/>
                    <w:tr2bl w:val="nil"/>
                  </w:tcBorders>
                  <w:vAlign w:val="center"/>
                </w:tcPr>
                <w:p>
                  <w:pPr>
                    <w:jc w:val="center"/>
                    <w:rPr>
                      <w:rFonts w:ascii="宋体" w:hAnsi="宋体"/>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1" w:hRule="atLeast"/>
                <w:jc w:val="center"/>
              </w:trPr>
              <w:tc>
                <w:tcPr>
                  <w:tcW w:w="1668" w:type="dxa"/>
                  <w:vMerge w:val="continue"/>
                  <w:tcBorders>
                    <w:tl2br w:val="nil"/>
                    <w:tr2bl w:val="nil"/>
                  </w:tcBorders>
                  <w:vAlign w:val="center"/>
                </w:tcPr>
                <w:p>
                  <w:pPr>
                    <w:jc w:val="center"/>
                    <w:rPr>
                      <w:rFonts w:ascii="宋体" w:hAnsi="宋体"/>
                      <w:color w:val="000000" w:themeColor="text1"/>
                      <w:szCs w:val="21"/>
                    </w:rPr>
                  </w:pP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氨氮</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45mg/L</w:t>
                  </w:r>
                </w:p>
              </w:tc>
              <w:tc>
                <w:tcPr>
                  <w:tcW w:w="3381" w:type="dxa"/>
                  <w:vMerge w:val="restart"/>
                  <w:tcBorders>
                    <w:tl2br w:val="nil"/>
                    <w:tr2bl w:val="nil"/>
                  </w:tcBorders>
                  <w:vAlign w:val="center"/>
                </w:tcPr>
                <w:p>
                  <w:pPr>
                    <w:jc w:val="center"/>
                  </w:pPr>
                  <w:r>
                    <w:rPr>
                      <w:rFonts w:hint="eastAsia" w:ascii="宋体" w:hAnsi="宋体"/>
                      <w:color w:val="000000" w:themeColor="text1"/>
                      <w:szCs w:val="21"/>
                    </w:rPr>
                    <w:t>《污水排入城镇下水道水质标准》（CJ343-2010）中B等级标准</w:t>
                  </w:r>
                  <w:r>
                    <w:rPr>
                      <w:rFonts w:hint="eastAsia"/>
                    </w:rPr>
                    <w:t>（批复标准）；</w:t>
                  </w:r>
                </w:p>
                <w:p>
                  <w:pPr>
                    <w:jc w:val="center"/>
                    <w:rPr>
                      <w:rFonts w:ascii="宋体" w:hAnsi="宋体"/>
                      <w:color w:val="000000" w:themeColor="text1"/>
                      <w:szCs w:val="21"/>
                    </w:rPr>
                  </w:pPr>
                  <w:r>
                    <w:rPr>
                      <w:rFonts w:hint="eastAsia" w:ascii="宋体" w:hAnsi="宋体"/>
                      <w:color w:val="000000"/>
                      <w:szCs w:val="21"/>
                    </w:rPr>
                    <w:t>《污水排入城镇下水道水质标准》（GB/T31962-2015）（参照标准）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vMerge w:val="continue"/>
                  <w:tcBorders>
                    <w:tl2br w:val="nil"/>
                    <w:tr2bl w:val="nil"/>
                  </w:tcBorders>
                  <w:vAlign w:val="center"/>
                </w:tcPr>
                <w:p>
                  <w:pPr>
                    <w:jc w:val="center"/>
                    <w:rPr>
                      <w:rFonts w:ascii="宋体" w:hAnsi="宋体"/>
                      <w:color w:val="FF0000"/>
                      <w:szCs w:val="21"/>
                    </w:rPr>
                  </w:pP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总磷</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8mg/L</w:t>
                  </w:r>
                </w:p>
              </w:tc>
              <w:tc>
                <w:tcPr>
                  <w:tcW w:w="3381" w:type="dxa"/>
                  <w:vMerge w:val="continue"/>
                  <w:tcBorders>
                    <w:tl2br w:val="nil"/>
                    <w:tr2bl w:val="nil"/>
                  </w:tcBorders>
                  <w:vAlign w:val="center"/>
                </w:tcPr>
                <w:p>
                  <w:pPr>
                    <w:jc w:val="center"/>
                    <w:rPr>
                      <w:rFonts w:ascii="宋体" w:hAnsi="宋体"/>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无组织废气</w:t>
                  </w: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颗粒物</w:t>
                  </w:r>
                </w:p>
              </w:tc>
              <w:tc>
                <w:tcPr>
                  <w:tcW w:w="223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1mg/m</w:t>
                  </w:r>
                  <w:r>
                    <w:rPr>
                      <w:rFonts w:hint="eastAsia" w:ascii="宋体" w:hAnsi="宋体"/>
                      <w:color w:val="000000" w:themeColor="text1"/>
                      <w:szCs w:val="21"/>
                      <w:vertAlign w:val="superscript"/>
                    </w:rPr>
                    <w:t>3</w:t>
                  </w:r>
                </w:p>
              </w:tc>
              <w:tc>
                <w:tcPr>
                  <w:tcW w:w="338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《大气污染物综合排放标准》（GB16297-1996）表2无组织排放监控限值标准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有组织废气</w:t>
                  </w:r>
                </w:p>
              </w:tc>
              <w:tc>
                <w:tcPr>
                  <w:tcW w:w="1792"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饮食业油烟</w:t>
                  </w:r>
                </w:p>
              </w:tc>
              <w:tc>
                <w:tcPr>
                  <w:tcW w:w="2230" w:type="dxa"/>
                  <w:tcBorders>
                    <w:tl2br w:val="nil"/>
                    <w:tr2bl w:val="nil"/>
                  </w:tcBorders>
                  <w:vAlign w:val="center"/>
                </w:tcPr>
                <w:p>
                  <w:pPr>
                    <w:jc w:val="center"/>
                    <w:rPr>
                      <w:rFonts w:ascii="宋体" w:hAnsi="宋体"/>
                      <w:color w:val="000000" w:themeColor="text1"/>
                      <w:szCs w:val="21"/>
                    </w:rPr>
                  </w:pPr>
                  <w:r>
                    <w:rPr>
                      <w:rFonts w:ascii="宋体" w:hAnsi="宋体"/>
                      <w:color w:val="000000" w:themeColor="text1"/>
                      <w:szCs w:val="21"/>
                    </w:rPr>
                    <w:t>≤</w:t>
                  </w:r>
                  <w:r>
                    <w:rPr>
                      <w:rFonts w:hint="eastAsia" w:ascii="宋体" w:hAnsi="宋体"/>
                      <w:color w:val="000000" w:themeColor="text1"/>
                      <w:szCs w:val="21"/>
                    </w:rPr>
                    <w:t>2mg/m</w:t>
                  </w:r>
                  <w:r>
                    <w:rPr>
                      <w:rFonts w:hint="eastAsia" w:ascii="宋体" w:hAnsi="宋体"/>
                      <w:color w:val="000000" w:themeColor="text1"/>
                      <w:szCs w:val="21"/>
                      <w:vertAlign w:val="superscript"/>
                    </w:rPr>
                    <w:t>3</w:t>
                  </w:r>
                </w:p>
              </w:tc>
              <w:tc>
                <w:tcPr>
                  <w:tcW w:w="338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《饮食业油烟排放标准（试行）》（GB18483-2001）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68" w:type="dxa"/>
                  <w:tcBorders>
                    <w:tl2br w:val="nil"/>
                    <w:tr2bl w:val="nil"/>
                  </w:tcBorders>
                  <w:vAlign w:val="center"/>
                </w:tcPr>
                <w:p>
                  <w:pPr>
                    <w:jc w:val="center"/>
                    <w:rPr>
                      <w:color w:val="000000" w:themeColor="text1"/>
                      <w:szCs w:val="21"/>
                    </w:rPr>
                  </w:pPr>
                  <w:r>
                    <w:rPr>
                      <w:rFonts w:hint="eastAsia"/>
                      <w:color w:val="000000" w:themeColor="text1"/>
                      <w:szCs w:val="21"/>
                    </w:rPr>
                    <w:t>噪声</w:t>
                  </w:r>
                </w:p>
              </w:tc>
              <w:tc>
                <w:tcPr>
                  <w:tcW w:w="1792" w:type="dxa"/>
                  <w:tcBorders>
                    <w:tl2br w:val="nil"/>
                    <w:tr2bl w:val="nil"/>
                  </w:tcBorders>
                  <w:vAlign w:val="center"/>
                </w:tcPr>
                <w:p>
                  <w:pPr>
                    <w:jc w:val="center"/>
                    <w:rPr>
                      <w:color w:val="000000" w:themeColor="text1"/>
                      <w:szCs w:val="21"/>
                    </w:rPr>
                  </w:pPr>
                  <w:r>
                    <w:rPr>
                      <w:rFonts w:hint="eastAsia"/>
                      <w:color w:val="000000" w:themeColor="text1"/>
                      <w:szCs w:val="21"/>
                    </w:rPr>
                    <w:t>厂界噪声</w:t>
                  </w:r>
                </w:p>
              </w:tc>
              <w:tc>
                <w:tcPr>
                  <w:tcW w:w="22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昼间60dB(A)</w:t>
                  </w:r>
                </w:p>
              </w:tc>
              <w:tc>
                <w:tcPr>
                  <w:tcW w:w="3381" w:type="dxa"/>
                  <w:tcBorders>
                    <w:tl2br w:val="nil"/>
                    <w:tr2bl w:val="nil"/>
                  </w:tcBorders>
                  <w:vAlign w:val="center"/>
                </w:tcPr>
                <w:p>
                  <w:pPr>
                    <w:jc w:val="center"/>
                    <w:rPr>
                      <w:color w:val="000000" w:themeColor="text1"/>
                      <w:szCs w:val="21"/>
                    </w:rPr>
                  </w:pPr>
                  <w:r>
                    <w:rPr>
                      <w:rFonts w:hint="eastAsia" w:ascii="宋体" w:hAnsi="宋体"/>
                      <w:color w:val="000000" w:themeColor="text1"/>
                      <w:szCs w:val="21"/>
                    </w:rPr>
                    <w:t>《工业企业厂界环境噪声排放标准》（GB12348-2008）2类标准</w:t>
                  </w:r>
                </w:p>
              </w:tc>
            </w:tr>
          </w:tbl>
          <w:p>
            <w:pPr>
              <w:rPr>
                <w:color w:val="FF0000"/>
              </w:rPr>
            </w:pPr>
          </w:p>
          <w:p>
            <w:pPr>
              <w:rPr>
                <w:rFonts w:ascii="宋体" w:hAnsi="宋体" w:cs="宋体"/>
                <w:b/>
                <w:bCs/>
                <w:color w:val="FF0000"/>
                <w:sz w:val="24"/>
              </w:rPr>
            </w:pPr>
          </w:p>
        </w:tc>
      </w:tr>
    </w:tbl>
    <w:p>
      <w:pPr>
        <w:outlineLvl w:val="0"/>
        <w:rPr>
          <w:b/>
          <w:color w:val="000000" w:themeColor="text1"/>
          <w:sz w:val="28"/>
          <w:szCs w:val="28"/>
        </w:rPr>
      </w:pPr>
      <w:bookmarkStart w:id="105" w:name="_Toc31861"/>
      <w:bookmarkStart w:id="106" w:name="_Toc12013"/>
      <w:bookmarkStart w:id="107" w:name="_Toc24302"/>
      <w:bookmarkStart w:id="108" w:name="_Toc6651"/>
      <w:bookmarkStart w:id="109" w:name="_Toc3037"/>
      <w:bookmarkStart w:id="110" w:name="_Toc624"/>
      <w:bookmarkStart w:id="111" w:name="_Toc16405"/>
      <w:bookmarkStart w:id="112" w:name="_Toc4893"/>
      <w:bookmarkStart w:id="113" w:name="_Toc10594"/>
      <w:bookmarkStart w:id="114" w:name="_Toc32690_WPSOffice_Level1"/>
      <w:bookmarkStart w:id="115" w:name="_Toc12380"/>
      <w:r>
        <w:rPr>
          <w:rFonts w:hint="eastAsia"/>
          <w:b/>
          <w:color w:val="000000" w:themeColor="text1"/>
          <w:sz w:val="28"/>
          <w:szCs w:val="28"/>
        </w:rPr>
        <w:t>表六 监测分析方法及质量保证措施</w:t>
      </w:r>
      <w:bookmarkEnd w:id="105"/>
      <w:bookmarkEnd w:id="106"/>
      <w:bookmarkEnd w:id="107"/>
      <w:bookmarkEnd w:id="108"/>
      <w:bookmarkEnd w:id="109"/>
      <w:bookmarkEnd w:id="110"/>
      <w:bookmarkEnd w:id="111"/>
      <w:bookmarkEnd w:id="112"/>
      <w:bookmarkEnd w:id="113"/>
      <w:bookmarkEnd w:id="114"/>
      <w:bookmarkEnd w:id="115"/>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numPr>
                <w:ilvl w:val="0"/>
                <w:numId w:val="8"/>
              </w:numPr>
              <w:spacing w:line="360" w:lineRule="auto"/>
              <w:jc w:val="left"/>
              <w:rPr>
                <w:rFonts w:ascii="宋体" w:hAnsi="宋体" w:cs="宋体"/>
                <w:b/>
                <w:bCs/>
                <w:color w:val="000000" w:themeColor="text1"/>
                <w:sz w:val="24"/>
              </w:rPr>
            </w:pPr>
            <w:r>
              <w:rPr>
                <w:rFonts w:hint="eastAsia" w:ascii="宋体" w:hAnsi="宋体" w:cs="宋体"/>
                <w:b/>
                <w:bCs/>
                <w:color w:val="000000" w:themeColor="text1"/>
                <w:sz w:val="24"/>
              </w:rPr>
              <w:t>监测分析方法</w:t>
            </w:r>
          </w:p>
          <w:p>
            <w:pPr>
              <w:spacing w:line="360" w:lineRule="auto"/>
              <w:jc w:val="left"/>
              <w:rPr>
                <w:rFonts w:ascii="宋体" w:hAnsi="宋体" w:cs="宋体"/>
                <w:color w:val="000000" w:themeColor="text1"/>
                <w:sz w:val="24"/>
              </w:rPr>
            </w:pPr>
            <w:r>
              <w:rPr>
                <w:rFonts w:hint="eastAsia" w:ascii="宋体" w:hAnsi="宋体" w:cs="宋体"/>
                <w:color w:val="000000" w:themeColor="text1"/>
                <w:sz w:val="24"/>
              </w:rPr>
              <w:t xml:space="preserve">    监测分析方法具体见表6-1。</w:t>
            </w:r>
          </w:p>
          <w:p>
            <w:pPr>
              <w:jc w:val="center"/>
              <w:rPr>
                <w:rFonts w:ascii="黑体" w:eastAsia="黑体"/>
                <w:color w:val="000000" w:themeColor="text1"/>
                <w:sz w:val="24"/>
              </w:rPr>
            </w:pPr>
            <w:r>
              <w:rPr>
                <w:rFonts w:hint="eastAsia" w:ascii="黑体" w:eastAsia="黑体"/>
                <w:color w:val="000000" w:themeColor="text1"/>
                <w:sz w:val="24"/>
              </w:rPr>
              <w:t>表6-1监测分析方法</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592"/>
              <w:gridCol w:w="2770"/>
              <w:gridCol w:w="2850"/>
              <w:gridCol w:w="1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21" w:type="dxa"/>
                  <w:gridSpan w:val="2"/>
                  <w:tcBorders>
                    <w:tl2br w:val="nil"/>
                    <w:tr2bl w:val="nil"/>
                  </w:tcBorders>
                  <w:vAlign w:val="center"/>
                </w:tcPr>
                <w:p>
                  <w:pPr>
                    <w:snapToGrid w:val="0"/>
                    <w:jc w:val="center"/>
                    <w:rPr>
                      <w:rFonts w:ascii="宋体" w:hAnsi="宋体" w:cs="宋体"/>
                      <w:b/>
                      <w:bCs/>
                      <w:color w:val="000000" w:themeColor="text1"/>
                      <w:szCs w:val="21"/>
                    </w:rPr>
                  </w:pPr>
                  <w:r>
                    <w:rPr>
                      <w:rFonts w:hint="eastAsia" w:ascii="宋体" w:hAnsi="宋体" w:cs="宋体"/>
                      <w:b/>
                      <w:bCs/>
                      <w:color w:val="000000" w:themeColor="text1"/>
                      <w:szCs w:val="21"/>
                    </w:rPr>
                    <w:t>监测因子</w:t>
                  </w:r>
                </w:p>
              </w:tc>
              <w:tc>
                <w:tcPr>
                  <w:tcW w:w="2770" w:type="dxa"/>
                  <w:tcBorders>
                    <w:tl2br w:val="nil"/>
                    <w:tr2bl w:val="nil"/>
                  </w:tcBorders>
                  <w:vAlign w:val="center"/>
                </w:tcPr>
                <w:p>
                  <w:pPr>
                    <w:snapToGrid w:val="0"/>
                    <w:jc w:val="center"/>
                    <w:rPr>
                      <w:rFonts w:ascii="宋体" w:hAnsi="宋体" w:cs="宋体"/>
                      <w:b/>
                      <w:bCs/>
                      <w:color w:val="000000" w:themeColor="text1"/>
                      <w:szCs w:val="21"/>
                    </w:rPr>
                  </w:pPr>
                  <w:r>
                    <w:rPr>
                      <w:rFonts w:hint="eastAsia" w:ascii="宋体" w:hAnsi="宋体" w:cs="宋体"/>
                      <w:b/>
                      <w:bCs/>
                      <w:color w:val="000000" w:themeColor="text1"/>
                      <w:szCs w:val="21"/>
                    </w:rPr>
                    <w:t>分析方法</w:t>
                  </w:r>
                </w:p>
              </w:tc>
              <w:tc>
                <w:tcPr>
                  <w:tcW w:w="2850" w:type="dxa"/>
                  <w:tcBorders>
                    <w:tl2br w:val="nil"/>
                    <w:tr2bl w:val="nil"/>
                  </w:tcBorders>
                  <w:vAlign w:val="center"/>
                </w:tcPr>
                <w:p>
                  <w:pPr>
                    <w:snapToGrid w:val="0"/>
                    <w:jc w:val="center"/>
                    <w:rPr>
                      <w:rFonts w:ascii="宋体" w:hAnsi="宋体" w:cs="宋体"/>
                      <w:b/>
                      <w:bCs/>
                      <w:color w:val="000000" w:themeColor="text1"/>
                      <w:szCs w:val="21"/>
                    </w:rPr>
                  </w:pPr>
                  <w:r>
                    <w:rPr>
                      <w:rFonts w:hint="eastAsia" w:ascii="宋体" w:hAnsi="宋体" w:cs="宋体"/>
                      <w:b/>
                      <w:bCs/>
                      <w:color w:val="000000" w:themeColor="text1"/>
                      <w:szCs w:val="21"/>
                    </w:rPr>
                    <w:t>方法依据</w:t>
                  </w:r>
                </w:p>
              </w:tc>
              <w:tc>
                <w:tcPr>
                  <w:tcW w:w="1330" w:type="dxa"/>
                  <w:tcBorders>
                    <w:tl2br w:val="nil"/>
                    <w:tr2bl w:val="nil"/>
                  </w:tcBorders>
                  <w:vAlign w:val="center"/>
                </w:tcPr>
                <w:p>
                  <w:pPr>
                    <w:snapToGrid w:val="0"/>
                    <w:jc w:val="center"/>
                    <w:rPr>
                      <w:rFonts w:ascii="宋体" w:hAnsi="宋体" w:cs="宋体"/>
                      <w:b/>
                      <w:bCs/>
                      <w:color w:val="000000" w:themeColor="text1"/>
                      <w:szCs w:val="21"/>
                    </w:rPr>
                  </w:pPr>
                  <w:r>
                    <w:rPr>
                      <w:rFonts w:hint="eastAsia" w:ascii="宋体" w:hAnsi="宋体" w:cs="宋体"/>
                      <w:b/>
                      <w:bCs/>
                      <w:color w:val="000000" w:themeColor="text1"/>
                      <w:szCs w:val="21"/>
                    </w:rPr>
                    <w:t>检出限值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restart"/>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废水</w:t>
                  </w: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pH</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便携式pH计法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《水和废水监测分析方法》（第四版 增补版）国家环保总局（2002）3.1.6.2</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snapToGrid w:val="0"/>
                    <w:jc w:val="center"/>
                    <w:rPr>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化学需氧量</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水质 化学需氧量的测定 重铬酸盐法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HJ 828-2017</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jc w:val="center"/>
                    <w:rPr>
                      <w:rFonts w:ascii="宋体" w:hAnsi="宋体" w:cs="宋体"/>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悬浮物</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水质 悬浮物的测定 重量法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GB 11901-1989</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jc w:val="center"/>
                    <w:rPr>
                      <w:rFonts w:ascii="宋体" w:hAnsi="宋体" w:cs="宋体"/>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氨氮</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水质 氨氮的测定 纳氏试剂分光光度法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 xml:space="preserve">HJ 535-2009 </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jc w:val="center"/>
                    <w:rPr>
                      <w:rFonts w:ascii="宋体" w:hAnsi="宋体" w:cs="宋体"/>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总磷</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水质 总磷的测定 钼酸铵分光光度法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GB 11893-1989</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jc w:val="center"/>
                    <w:rPr>
                      <w:rFonts w:ascii="宋体" w:hAnsi="宋体" w:cs="宋体"/>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动植物油</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水质 石油类和动植物油的测定 红外光度法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HJ637-2012</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restart"/>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废气</w:t>
                  </w: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饮食业油烟</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饮食业油烟快速检测气管法</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DB32/T664-2004</w:t>
                  </w:r>
                </w:p>
              </w:tc>
              <w:tc>
                <w:tcPr>
                  <w:tcW w:w="1330"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vAlign w:val="center"/>
                </w:tcPr>
                <w:p>
                  <w:pPr>
                    <w:jc w:val="center"/>
                    <w:rPr>
                      <w:rFonts w:ascii="宋体" w:hAnsi="宋体" w:cs="宋体"/>
                      <w:color w:val="000000" w:themeColor="text1"/>
                      <w:szCs w:val="21"/>
                    </w:rPr>
                  </w:pP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总悬浮颗粒物</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 xml:space="preserve">环境空气 总悬浮颗粒物的测定 重量法 </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GB/T 15432-1995</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0.001mg/m</w:t>
                  </w:r>
                  <w:r>
                    <w:rPr>
                      <w:rFonts w:hint="eastAsia" w:ascii="宋体" w:hAnsi="宋体" w:cs="宋体"/>
                      <w:color w:val="000000" w:themeColor="text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29"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噪声</w:t>
                  </w:r>
                </w:p>
              </w:tc>
              <w:tc>
                <w:tcPr>
                  <w:tcW w:w="159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厂界噪声</w:t>
                  </w:r>
                </w:p>
              </w:tc>
              <w:tc>
                <w:tcPr>
                  <w:tcW w:w="27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工业企业厂界环境噪声排放标准</w:t>
                  </w:r>
                </w:p>
              </w:tc>
              <w:tc>
                <w:tcPr>
                  <w:tcW w:w="285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GB12348-2008</w:t>
                  </w:r>
                </w:p>
              </w:tc>
              <w:tc>
                <w:tcPr>
                  <w:tcW w:w="133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w:t>
                  </w:r>
                </w:p>
              </w:tc>
            </w:tr>
          </w:tbl>
          <w:p>
            <w:pPr>
              <w:numPr>
                <w:ilvl w:val="0"/>
                <w:numId w:val="8"/>
              </w:numPr>
              <w:spacing w:line="360" w:lineRule="auto"/>
              <w:rPr>
                <w:b/>
                <w:bCs/>
                <w:color w:val="000000" w:themeColor="text1"/>
              </w:rPr>
            </w:pPr>
            <w:r>
              <w:rPr>
                <w:rFonts w:hint="eastAsia"/>
                <w:b/>
                <w:bCs/>
                <w:color w:val="000000" w:themeColor="text1"/>
              </w:rPr>
              <w:t>监测仪器</w:t>
            </w:r>
          </w:p>
          <w:p>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所有监测仪器经过计量部门检定并在有效期内；现场监测仪器使用前均经过校准。</w:t>
            </w:r>
          </w:p>
          <w:p>
            <w:pPr>
              <w:numPr>
                <w:ilvl w:val="0"/>
                <w:numId w:val="9"/>
              </w:numPr>
              <w:rPr>
                <w:b/>
                <w:bCs/>
                <w:color w:val="000000" w:themeColor="text1"/>
              </w:rPr>
            </w:pPr>
            <w:r>
              <w:rPr>
                <w:rFonts w:hint="eastAsia"/>
                <w:b/>
                <w:bCs/>
                <w:color w:val="000000" w:themeColor="text1"/>
              </w:rPr>
              <w:t>人员资质</w:t>
            </w:r>
          </w:p>
          <w:p>
            <w:pPr>
              <w:spacing w:line="360" w:lineRule="auto"/>
              <w:ind w:firstLine="480" w:firstLineChars="200"/>
              <w:jc w:val="left"/>
              <w:rPr>
                <w:color w:val="FF0000"/>
              </w:rPr>
            </w:pPr>
            <w:r>
              <w:rPr>
                <w:rFonts w:hint="eastAsia" w:ascii="宋体" w:hAnsi="宋体" w:cs="宋体"/>
                <w:color w:val="000000" w:themeColor="text1"/>
                <w:sz w:val="24"/>
              </w:rPr>
              <w:t xml:space="preserve"> 所有监测人员经过考核并持有合格证书，验收项目负责人等均通过建设项目竣工环境保护验收监测人员培训合格证书，具体证书内容见附件。监测分析仪器及人员见表6-2。</w:t>
            </w:r>
          </w:p>
        </w:tc>
      </w:tr>
    </w:tbl>
    <w:p>
      <w:pPr>
        <w:rPr>
          <w:b/>
          <w:color w:val="000000" w:themeColor="text1"/>
          <w:sz w:val="28"/>
          <w:szCs w:val="28"/>
        </w:rPr>
      </w:pPr>
      <w:bookmarkStart w:id="116" w:name="_Toc11965"/>
      <w:bookmarkStart w:id="117" w:name="_Toc3301"/>
      <w:bookmarkStart w:id="118" w:name="_Toc28522"/>
      <w:bookmarkStart w:id="119" w:name="_Toc3238"/>
      <w:bookmarkStart w:id="120" w:name="_Toc21023"/>
      <w:bookmarkStart w:id="121" w:name="_Toc28336"/>
      <w:bookmarkStart w:id="122" w:name="_Toc878"/>
      <w:bookmarkStart w:id="123" w:name="_Toc18271"/>
      <w:bookmarkStart w:id="124" w:name="_Toc19447"/>
      <w:bookmarkStart w:id="125" w:name="_Toc28891"/>
      <w:bookmarkStart w:id="126" w:name="_Toc26741"/>
      <w:bookmarkStart w:id="127" w:name="_Toc12834_WPSOffice_Level1"/>
      <w:r>
        <w:rPr>
          <w:rFonts w:hint="eastAsia"/>
          <w:b/>
          <w:color w:val="000000" w:themeColor="text1"/>
          <w:sz w:val="28"/>
          <w:szCs w:val="28"/>
        </w:rPr>
        <w:t>续表</w:t>
      </w:r>
      <w:bookmarkEnd w:id="116"/>
      <w:bookmarkEnd w:id="117"/>
      <w:bookmarkEnd w:id="118"/>
      <w:bookmarkEnd w:id="119"/>
      <w:bookmarkEnd w:id="120"/>
      <w:bookmarkEnd w:id="121"/>
      <w:bookmarkEnd w:id="122"/>
      <w:r>
        <w:rPr>
          <w:rFonts w:hint="eastAsia"/>
          <w:b/>
          <w:color w:val="000000" w:themeColor="text1"/>
          <w:sz w:val="28"/>
          <w:szCs w:val="28"/>
        </w:rPr>
        <w:t>六</w:t>
      </w:r>
      <w:bookmarkEnd w:id="123"/>
      <w:bookmarkEnd w:id="124"/>
      <w:bookmarkEnd w:id="125"/>
      <w:bookmarkEnd w:id="126"/>
      <w:bookmarkEnd w:id="127"/>
    </w:p>
    <w:tbl>
      <w:tblPr>
        <w:tblStyle w:val="13"/>
        <w:tblW w:w="9354" w:type="dxa"/>
        <w:jc w:val="center"/>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jc w:val="center"/>
              <w:rPr>
                <w:rFonts w:ascii="黑体" w:eastAsia="黑体"/>
                <w:color w:val="000000" w:themeColor="text1"/>
                <w:sz w:val="24"/>
              </w:rPr>
            </w:pPr>
            <w:r>
              <w:rPr>
                <w:rFonts w:hint="eastAsia" w:ascii="黑体" w:eastAsia="黑体"/>
                <w:color w:val="000000" w:themeColor="text1"/>
                <w:sz w:val="24"/>
              </w:rPr>
              <w:t>表6-2监测分析仪器及人员</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3248"/>
              <w:gridCol w:w="1687"/>
              <w:gridCol w:w="1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项目名称</w:t>
                  </w:r>
                </w:p>
              </w:tc>
              <w:tc>
                <w:tcPr>
                  <w:tcW w:w="3248" w:type="dxa"/>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分析仪器</w:t>
                  </w:r>
                </w:p>
              </w:tc>
              <w:tc>
                <w:tcPr>
                  <w:tcW w:w="1687" w:type="dxa"/>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仪器编号</w:t>
                  </w:r>
                </w:p>
              </w:tc>
              <w:tc>
                <w:tcPr>
                  <w:tcW w:w="1977" w:type="dxa"/>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分析人员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pH</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便携式pH计（SX811）</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YQ-006-8</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王高浦、田宇、陈国庆、秦广平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snapToGrid w:val="0"/>
                    <w:spacing w:line="240" w:lineRule="atLeast"/>
                    <w:jc w:val="center"/>
                    <w:rPr>
                      <w:rFonts w:ascii="宋体" w:hAnsi="宋体"/>
                      <w:bCs/>
                      <w:color w:val="000000" w:themeColor="text1"/>
                      <w:szCs w:val="21"/>
                    </w:rPr>
                  </w:pPr>
                  <w:r>
                    <w:rPr>
                      <w:rFonts w:hint="eastAsia" w:ascii="宋体" w:hAnsi="宋体"/>
                      <w:color w:val="000000" w:themeColor="text1"/>
                      <w:szCs w:val="21"/>
                    </w:rPr>
                    <w:t>化学需氧量</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滴定管（50ml）</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YQ-045-2</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李娟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悬浮物</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电子天平（AUY220）</w:t>
                  </w:r>
                </w:p>
              </w:tc>
              <w:tc>
                <w:tcPr>
                  <w:tcW w:w="1687" w:type="dxa"/>
                  <w:tcBorders>
                    <w:tl2br w:val="nil"/>
                    <w:tr2bl w:val="nil"/>
                  </w:tcBorders>
                  <w:vAlign w:val="center"/>
                </w:tcPr>
                <w:p>
                  <w:pPr>
                    <w:snapToGrid w:val="0"/>
                    <w:jc w:val="center"/>
                    <w:rPr>
                      <w:rFonts w:ascii="宋体" w:hAnsi="宋体"/>
                      <w:color w:val="000000" w:themeColor="text1"/>
                      <w:szCs w:val="21"/>
                      <w:highlight w:val="yellow"/>
                    </w:rPr>
                  </w:pPr>
                  <w:r>
                    <w:rPr>
                      <w:rFonts w:hint="eastAsia" w:ascii="宋体" w:hAnsi="宋体"/>
                      <w:color w:val="000000" w:themeColor="text1"/>
                      <w:szCs w:val="21"/>
                    </w:rPr>
                    <w:t>YQ-011-2</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叶梦涛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氨氮</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分光光度计（722N）</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YQ-015-1</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汤晓娟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动植物油</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红外分光测油仪（JLBG-125）</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YQ-023-1</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沈聪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总磷</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分光光度计（722N）</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YQ-015-1</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刘翠红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饮食业油烟</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大气采样器（Qc-3）</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YQ-034-3</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王高浦、田宇、陈国庆、秦广平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vMerge w:val="restart"/>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总悬浮颗粒物</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崂应（2050）</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YQ-002-1</w:t>
                  </w:r>
                </w:p>
                <w:p>
                  <w:pPr>
                    <w:snapToGrid w:val="0"/>
                    <w:jc w:val="center"/>
                    <w:rPr>
                      <w:rFonts w:ascii="宋体" w:hAnsi="宋体"/>
                      <w:color w:val="000000" w:themeColor="text1"/>
                      <w:szCs w:val="21"/>
                    </w:rPr>
                  </w:pPr>
                  <w:r>
                    <w:rPr>
                      <w:rFonts w:hint="eastAsia" w:ascii="宋体" w:hAnsi="宋体"/>
                      <w:color w:val="000000" w:themeColor="text1"/>
                      <w:szCs w:val="21"/>
                    </w:rPr>
                    <w:t>YQ-002-2</w:t>
                  </w:r>
                </w:p>
                <w:p>
                  <w:pPr>
                    <w:snapToGrid w:val="0"/>
                    <w:jc w:val="center"/>
                    <w:rPr>
                      <w:rFonts w:ascii="宋体" w:hAnsi="宋体"/>
                      <w:color w:val="000000" w:themeColor="text1"/>
                      <w:szCs w:val="21"/>
                    </w:rPr>
                  </w:pPr>
                  <w:r>
                    <w:rPr>
                      <w:rFonts w:hint="eastAsia" w:ascii="宋体" w:hAnsi="宋体"/>
                      <w:color w:val="000000" w:themeColor="text1"/>
                      <w:szCs w:val="21"/>
                    </w:rPr>
                    <w:t>YQ-002-3</w:t>
                  </w:r>
                </w:p>
                <w:p>
                  <w:pPr>
                    <w:snapToGrid w:val="0"/>
                    <w:jc w:val="center"/>
                    <w:rPr>
                      <w:rFonts w:ascii="宋体" w:hAnsi="宋体"/>
                      <w:color w:val="000000" w:themeColor="text1"/>
                      <w:szCs w:val="21"/>
                    </w:rPr>
                  </w:pPr>
                  <w:r>
                    <w:rPr>
                      <w:rFonts w:hint="eastAsia" w:ascii="宋体" w:hAnsi="宋体"/>
                      <w:color w:val="000000" w:themeColor="text1"/>
                      <w:szCs w:val="21"/>
                    </w:rPr>
                    <w:t>YQ-002-4</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王高浦、田宇、陈国庆、秦广平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vMerge w:val="continue"/>
                  <w:tcBorders>
                    <w:tl2br w:val="nil"/>
                    <w:tr2bl w:val="nil"/>
                  </w:tcBorders>
                  <w:vAlign w:val="center"/>
                </w:tcPr>
                <w:p>
                  <w:pPr>
                    <w:jc w:val="center"/>
                    <w:rPr>
                      <w:rFonts w:ascii="宋体" w:hAnsi="宋体"/>
                      <w:color w:val="000000" w:themeColor="text1"/>
                      <w:szCs w:val="21"/>
                    </w:rPr>
                  </w:pP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AUY220</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YQ-011-2</w:t>
                  </w:r>
                </w:p>
              </w:tc>
              <w:tc>
                <w:tcPr>
                  <w:tcW w:w="197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张鹏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vMerge w:val="restart"/>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厂界噪声</w:t>
                  </w:r>
                </w:p>
              </w:tc>
              <w:tc>
                <w:tcPr>
                  <w:tcW w:w="324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噪声仪（AWA5688）</w:t>
                  </w:r>
                </w:p>
              </w:tc>
              <w:tc>
                <w:tcPr>
                  <w:tcW w:w="1687"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YQ-005-4</w:t>
                  </w:r>
                </w:p>
              </w:tc>
              <w:tc>
                <w:tcPr>
                  <w:tcW w:w="1977" w:type="dxa"/>
                  <w:vMerge w:val="restart"/>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王高浦、田宇、陈国庆、秦广平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59" w:type="dxa"/>
                  <w:vMerge w:val="continue"/>
                  <w:tcBorders>
                    <w:tl2br w:val="nil"/>
                    <w:tr2bl w:val="nil"/>
                  </w:tcBorders>
                  <w:vAlign w:val="center"/>
                </w:tcPr>
                <w:p>
                  <w:pPr>
                    <w:jc w:val="center"/>
                    <w:rPr>
                      <w:rFonts w:ascii="宋体" w:hAnsi="宋体"/>
                      <w:color w:val="FF0000"/>
                      <w:szCs w:val="21"/>
                    </w:rPr>
                  </w:pPr>
                </w:p>
              </w:tc>
              <w:tc>
                <w:tcPr>
                  <w:tcW w:w="3248" w:type="dxa"/>
                  <w:tcBorders>
                    <w:tl2br w:val="nil"/>
                    <w:tr2bl w:val="nil"/>
                  </w:tcBorders>
                  <w:vAlign w:val="center"/>
                </w:tcPr>
                <w:p>
                  <w:pPr>
                    <w:snapToGrid w:val="0"/>
                    <w:jc w:val="center"/>
                    <w:rPr>
                      <w:rFonts w:ascii="宋体" w:hAnsi="宋体"/>
                      <w:color w:val="FF0000"/>
                      <w:szCs w:val="21"/>
                    </w:rPr>
                  </w:pPr>
                  <w:r>
                    <w:rPr>
                      <w:rFonts w:hint="eastAsia" w:ascii="宋体" w:hAnsi="宋体"/>
                      <w:color w:val="000000"/>
                      <w:szCs w:val="21"/>
                    </w:rPr>
                    <w:t>校准仪（AWA6221A）</w:t>
                  </w:r>
                </w:p>
              </w:tc>
              <w:tc>
                <w:tcPr>
                  <w:tcW w:w="1687" w:type="dxa"/>
                  <w:tcBorders>
                    <w:tl2br w:val="nil"/>
                    <w:tr2bl w:val="nil"/>
                  </w:tcBorders>
                  <w:vAlign w:val="center"/>
                </w:tcPr>
                <w:p>
                  <w:pPr>
                    <w:snapToGrid w:val="0"/>
                    <w:jc w:val="center"/>
                    <w:rPr>
                      <w:rFonts w:ascii="宋体" w:hAnsi="宋体"/>
                      <w:color w:val="FF0000"/>
                      <w:szCs w:val="21"/>
                    </w:rPr>
                  </w:pPr>
                  <w:r>
                    <w:rPr>
                      <w:rFonts w:hint="eastAsia" w:ascii="宋体" w:hAnsi="宋体"/>
                      <w:color w:val="000000"/>
                      <w:szCs w:val="21"/>
                    </w:rPr>
                    <w:t>YQ-005-3</w:t>
                  </w:r>
                </w:p>
              </w:tc>
              <w:tc>
                <w:tcPr>
                  <w:tcW w:w="1977" w:type="dxa"/>
                  <w:vMerge w:val="continue"/>
                  <w:tcBorders>
                    <w:tl2br w:val="nil"/>
                    <w:tr2bl w:val="nil"/>
                  </w:tcBorders>
                  <w:vAlign w:val="center"/>
                </w:tcPr>
                <w:p>
                  <w:pPr>
                    <w:snapToGrid w:val="0"/>
                    <w:jc w:val="center"/>
                    <w:rPr>
                      <w:rFonts w:ascii="宋体" w:hAnsi="宋体"/>
                      <w:color w:val="FF0000"/>
                      <w:szCs w:val="21"/>
                    </w:rPr>
                  </w:pPr>
                </w:p>
              </w:tc>
            </w:tr>
          </w:tbl>
          <w:p>
            <w:pPr>
              <w:spacing w:line="360" w:lineRule="auto"/>
              <w:rPr>
                <w:b/>
                <w:bCs/>
                <w:color w:val="000000" w:themeColor="text1"/>
                <w:sz w:val="24"/>
              </w:rPr>
            </w:pPr>
            <w:r>
              <w:rPr>
                <w:rFonts w:hint="eastAsia"/>
                <w:b/>
                <w:bCs/>
                <w:color w:val="000000" w:themeColor="text1"/>
                <w:sz w:val="24"/>
              </w:rPr>
              <w:t>四、水质监测分析过程中的质量保证和质量控制</w:t>
            </w:r>
          </w:p>
          <w:p>
            <w:pPr>
              <w:spacing w:line="360" w:lineRule="auto"/>
              <w:ind w:firstLine="480" w:firstLineChars="200"/>
              <w:jc w:val="left"/>
              <w:rPr>
                <w:rFonts w:cs="宋体"/>
                <w:color w:val="000000" w:themeColor="text1"/>
                <w:sz w:val="24"/>
              </w:rPr>
            </w:pPr>
            <w:r>
              <w:rPr>
                <w:rFonts w:hint="eastAsia" w:ascii="宋体" w:hAnsi="宋体" w:cs="宋体"/>
                <w:color w:val="000000" w:themeColor="text1"/>
                <w:sz w:val="24"/>
              </w:rPr>
              <w:t>本次废水监测的质量保证严格按照编制的《质量手册》、《程序文件》等质量体系文件的要求，实施全过程质量控制。废水监测仪器符合国家有关标准或技术要求。采样、运输、保存、分析全过程严格</w:t>
            </w:r>
            <w:r>
              <w:rPr>
                <w:rFonts w:ascii="宋体" w:hAnsi="宋体" w:cs="宋体"/>
                <w:color w:val="000000" w:themeColor="text1"/>
                <w:sz w:val="24"/>
              </w:rPr>
              <w:t>按照H</w:t>
            </w:r>
            <w:r>
              <w:rPr>
                <w:rFonts w:hint="eastAsia" w:ascii="宋体" w:hAnsi="宋体" w:cs="宋体"/>
                <w:color w:val="000000" w:themeColor="text1"/>
                <w:sz w:val="24"/>
              </w:rPr>
              <w:t>J</w:t>
            </w:r>
            <w:r>
              <w:rPr>
                <w:rFonts w:ascii="宋体" w:hAnsi="宋体" w:cs="宋体"/>
                <w:color w:val="000000" w:themeColor="text1"/>
                <w:sz w:val="24"/>
              </w:rPr>
              <w:t>/T91-2002《废水监测分析技术规范》的要求采集、保存样品，并认真填写采样现场记录，实验室实行交接样制度，统一编号分析。实验室分析人员按分析质量控制规定，按10%比例加测质控平行样、加标回收、空白实验等质控措施</w:t>
            </w:r>
            <w:r>
              <w:rPr>
                <w:rFonts w:hint="eastAsia" w:ascii="宋体" w:hAnsi="宋体" w:cs="宋体"/>
                <w:color w:val="000000" w:themeColor="text1"/>
                <w:sz w:val="24"/>
              </w:rPr>
              <w:t>。pH 现场测试校准合格。</w:t>
            </w:r>
            <w:r>
              <w:rPr>
                <w:rFonts w:hint="eastAsia" w:cs="宋体"/>
                <w:color w:val="000000" w:themeColor="text1"/>
                <w:sz w:val="24"/>
              </w:rPr>
              <w:t>废水质量控制表见表6-3。</w:t>
            </w:r>
          </w:p>
          <w:p>
            <w:pPr>
              <w:jc w:val="center"/>
              <w:rPr>
                <w:rFonts w:ascii="黑体" w:eastAsia="黑体"/>
                <w:color w:val="000000" w:themeColor="text1"/>
                <w:sz w:val="24"/>
              </w:rPr>
            </w:pPr>
            <w:r>
              <w:rPr>
                <w:rFonts w:hint="eastAsia" w:ascii="黑体" w:eastAsia="黑体"/>
                <w:color w:val="000000" w:themeColor="text1"/>
                <w:sz w:val="24"/>
              </w:rPr>
              <w:t>表6-3 废水质量控制表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928"/>
              <w:gridCol w:w="1108"/>
              <w:gridCol w:w="1109"/>
              <w:gridCol w:w="1109"/>
              <w:gridCol w:w="1108"/>
              <w:gridCol w:w="1109"/>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vMerge w:val="restart"/>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污染物</w:t>
                  </w:r>
                </w:p>
              </w:tc>
              <w:tc>
                <w:tcPr>
                  <w:tcW w:w="928" w:type="dxa"/>
                  <w:vMerge w:val="restart"/>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样品数</w:t>
                  </w:r>
                </w:p>
              </w:tc>
              <w:tc>
                <w:tcPr>
                  <w:tcW w:w="3326" w:type="dxa"/>
                  <w:gridSpan w:val="3"/>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平行</w:t>
                  </w:r>
                </w:p>
              </w:tc>
              <w:tc>
                <w:tcPr>
                  <w:tcW w:w="3328" w:type="dxa"/>
                  <w:gridSpan w:val="3"/>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加标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vMerge w:val="continue"/>
                  <w:tcBorders>
                    <w:tl2br w:val="nil"/>
                    <w:tr2bl w:val="nil"/>
                  </w:tcBorders>
                  <w:vAlign w:val="center"/>
                </w:tcPr>
                <w:p>
                  <w:pPr>
                    <w:widowControl/>
                    <w:jc w:val="center"/>
                    <w:rPr>
                      <w:rFonts w:ascii="宋体" w:hAnsi="宋体" w:cs="Arial"/>
                      <w:b/>
                      <w:bCs/>
                      <w:color w:val="000000" w:themeColor="text1"/>
                      <w:kern w:val="0"/>
                      <w:szCs w:val="21"/>
                    </w:rPr>
                  </w:pPr>
                </w:p>
              </w:tc>
              <w:tc>
                <w:tcPr>
                  <w:tcW w:w="928" w:type="dxa"/>
                  <w:vMerge w:val="continue"/>
                  <w:tcBorders>
                    <w:tl2br w:val="nil"/>
                    <w:tr2bl w:val="nil"/>
                  </w:tcBorders>
                  <w:vAlign w:val="center"/>
                </w:tcPr>
                <w:p>
                  <w:pPr>
                    <w:widowControl/>
                    <w:jc w:val="center"/>
                    <w:rPr>
                      <w:rFonts w:ascii="宋体" w:hAnsi="宋体" w:cs="Arial"/>
                      <w:b/>
                      <w:bCs/>
                      <w:color w:val="000000" w:themeColor="text1"/>
                      <w:kern w:val="0"/>
                      <w:szCs w:val="21"/>
                    </w:rPr>
                  </w:pPr>
                </w:p>
              </w:tc>
              <w:tc>
                <w:tcPr>
                  <w:tcW w:w="1108"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平行样</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(个)</w:t>
                  </w:r>
                </w:p>
              </w:tc>
              <w:tc>
                <w:tcPr>
                  <w:tcW w:w="1109"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检查率</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w:t>
                  </w:r>
                </w:p>
              </w:tc>
              <w:tc>
                <w:tcPr>
                  <w:tcW w:w="1109"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合格率</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w:t>
                  </w:r>
                </w:p>
              </w:tc>
              <w:tc>
                <w:tcPr>
                  <w:tcW w:w="1108"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加标样</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（个）</w:t>
                  </w:r>
                </w:p>
              </w:tc>
              <w:tc>
                <w:tcPr>
                  <w:tcW w:w="1109"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检查率</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w:t>
                  </w:r>
                </w:p>
              </w:tc>
              <w:tc>
                <w:tcPr>
                  <w:tcW w:w="1111" w:type="dxa"/>
                  <w:tcBorders>
                    <w:tl2br w:val="nil"/>
                    <w:tr2bl w:val="nil"/>
                  </w:tcBorders>
                  <w:vAlign w:val="center"/>
                </w:tcPr>
                <w:p>
                  <w:pPr>
                    <w:widowControl/>
                    <w:jc w:val="center"/>
                    <w:rPr>
                      <w:rFonts w:ascii="宋体" w:hAnsi="宋体" w:cs="Arial"/>
                      <w:b/>
                      <w:bCs/>
                      <w:color w:val="000000" w:themeColor="text1"/>
                      <w:kern w:val="0"/>
                      <w:szCs w:val="21"/>
                    </w:rPr>
                  </w:pPr>
                  <w:r>
                    <w:rPr>
                      <w:rFonts w:ascii="宋体" w:hAnsi="宋体" w:cs="Arial"/>
                      <w:b/>
                      <w:bCs/>
                      <w:color w:val="000000" w:themeColor="text1"/>
                      <w:kern w:val="0"/>
                      <w:szCs w:val="21"/>
                    </w:rPr>
                    <w:t>合格率</w:t>
                  </w:r>
                  <w:r>
                    <w:rPr>
                      <w:rFonts w:ascii="宋体" w:hAnsi="宋体" w:cs="Arial"/>
                      <w:b/>
                      <w:bCs/>
                      <w:color w:val="000000" w:themeColor="text1"/>
                      <w:kern w:val="0"/>
                      <w:szCs w:val="21"/>
                    </w:rPr>
                    <w:br w:type="textWrapping"/>
                  </w:r>
                  <w:r>
                    <w:rPr>
                      <w:rFonts w:ascii="宋体" w:hAnsi="宋体" w:cs="Arial"/>
                      <w:b/>
                      <w:bCs/>
                      <w:color w:val="000000" w:themeColor="text1"/>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pH</w:t>
                  </w:r>
                </w:p>
              </w:tc>
              <w:tc>
                <w:tcPr>
                  <w:tcW w:w="92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12</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12</w:t>
                  </w:r>
                </w:p>
              </w:tc>
              <w:tc>
                <w:tcPr>
                  <w:tcW w:w="1109" w:type="dxa"/>
                  <w:tcBorders>
                    <w:tl2br w:val="nil"/>
                    <w:tr2bl w:val="nil"/>
                  </w:tcBorders>
                  <w:vAlign w:val="center"/>
                </w:tcPr>
                <w:p>
                  <w:pPr>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9" w:type="dxa"/>
                  <w:tcBorders>
                    <w:tl2br w:val="nil"/>
                    <w:tr2bl w:val="nil"/>
                  </w:tcBorders>
                  <w:vAlign w:val="center"/>
                </w:tcPr>
                <w:p>
                  <w:pPr>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11"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化学需氧量</w:t>
                  </w:r>
                </w:p>
              </w:tc>
              <w:tc>
                <w:tcPr>
                  <w:tcW w:w="92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12</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3</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25</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11"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氨氮</w:t>
                  </w:r>
                </w:p>
              </w:tc>
              <w:tc>
                <w:tcPr>
                  <w:tcW w:w="92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8</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3</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25</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11"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总磷</w:t>
                  </w:r>
                </w:p>
              </w:tc>
              <w:tc>
                <w:tcPr>
                  <w:tcW w:w="92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8</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12.5</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11"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89" w:type="dxa"/>
                  <w:tcBorders>
                    <w:tl2br w:val="nil"/>
                    <w:tr2bl w:val="nil"/>
                  </w:tcBorders>
                  <w:vAlign w:val="center"/>
                </w:tcPr>
                <w:p>
                  <w:pPr>
                    <w:snapToGrid w:val="0"/>
                    <w:spacing w:line="240" w:lineRule="atLeast"/>
                    <w:jc w:val="center"/>
                    <w:rPr>
                      <w:rFonts w:ascii="宋体" w:hAnsi="宋体"/>
                      <w:color w:val="000000" w:themeColor="text1"/>
                      <w:szCs w:val="21"/>
                    </w:rPr>
                  </w:pPr>
                  <w:r>
                    <w:rPr>
                      <w:rFonts w:hint="eastAsia" w:ascii="宋体" w:hAnsi="宋体"/>
                      <w:color w:val="000000" w:themeColor="text1"/>
                      <w:szCs w:val="21"/>
                    </w:rPr>
                    <w:t>动植物油</w:t>
                  </w:r>
                </w:p>
              </w:tc>
              <w:tc>
                <w:tcPr>
                  <w:tcW w:w="92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8</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12.5</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100</w:t>
                  </w:r>
                </w:p>
              </w:tc>
              <w:tc>
                <w:tcPr>
                  <w:tcW w:w="1108"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09"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0</w:t>
                  </w:r>
                </w:p>
              </w:tc>
              <w:tc>
                <w:tcPr>
                  <w:tcW w:w="1111" w:type="dxa"/>
                  <w:tcBorders>
                    <w:tl2br w:val="nil"/>
                    <w:tr2bl w:val="nil"/>
                  </w:tcBorders>
                  <w:vAlign w:val="center"/>
                </w:tcPr>
                <w:p>
                  <w:pPr>
                    <w:widowControl/>
                    <w:jc w:val="center"/>
                    <w:rPr>
                      <w:rFonts w:ascii="宋体" w:hAnsi="宋体" w:cs="Arial"/>
                      <w:color w:val="000000" w:themeColor="text1"/>
                      <w:kern w:val="0"/>
                      <w:szCs w:val="21"/>
                    </w:rPr>
                  </w:pPr>
                  <w:r>
                    <w:rPr>
                      <w:rFonts w:hint="eastAsia" w:ascii="宋体" w:hAnsi="宋体" w:cs="Arial"/>
                      <w:color w:val="000000" w:themeColor="text1"/>
                      <w:kern w:val="0"/>
                      <w:szCs w:val="21"/>
                    </w:rPr>
                    <w:t>/</w:t>
                  </w:r>
                </w:p>
              </w:tc>
            </w:tr>
          </w:tbl>
          <w:p>
            <w:pPr>
              <w:rPr>
                <w:b/>
                <w:color w:val="FF0000"/>
                <w:sz w:val="28"/>
                <w:szCs w:val="28"/>
              </w:rPr>
            </w:pPr>
          </w:p>
        </w:tc>
      </w:tr>
    </w:tbl>
    <w:p>
      <w:pPr>
        <w:rPr>
          <w:b/>
          <w:color w:val="000000" w:themeColor="text1"/>
          <w:sz w:val="28"/>
          <w:szCs w:val="28"/>
        </w:rPr>
      </w:pPr>
      <w:bookmarkStart w:id="128" w:name="_Toc8028"/>
      <w:bookmarkStart w:id="129" w:name="_Toc18398"/>
      <w:bookmarkStart w:id="130" w:name="_Toc17371"/>
      <w:bookmarkStart w:id="131" w:name="_Toc4629"/>
      <w:bookmarkStart w:id="132" w:name="_Toc5976"/>
      <w:bookmarkStart w:id="133" w:name="_Toc6291"/>
      <w:bookmarkStart w:id="134" w:name="_Toc30464"/>
      <w:bookmarkStart w:id="135" w:name="_Toc31030_WPSOffice_Level1"/>
      <w:bookmarkStart w:id="136" w:name="_Toc24708"/>
      <w:bookmarkStart w:id="137" w:name="_Toc5775"/>
      <w:bookmarkStart w:id="138" w:name="_Toc6688"/>
      <w:bookmarkStart w:id="139" w:name="_Toc5184"/>
      <w:r>
        <w:rPr>
          <w:rFonts w:hint="eastAsia"/>
          <w:b/>
          <w:color w:val="000000" w:themeColor="text1"/>
          <w:sz w:val="28"/>
          <w:szCs w:val="28"/>
        </w:rPr>
        <w:t>续表</w:t>
      </w:r>
      <w:bookmarkEnd w:id="128"/>
      <w:bookmarkEnd w:id="129"/>
      <w:bookmarkEnd w:id="130"/>
      <w:bookmarkEnd w:id="131"/>
      <w:bookmarkEnd w:id="132"/>
      <w:bookmarkEnd w:id="133"/>
      <w:bookmarkEnd w:id="134"/>
      <w:r>
        <w:rPr>
          <w:rFonts w:hint="eastAsia"/>
          <w:b/>
          <w:color w:val="000000" w:themeColor="text1"/>
          <w:sz w:val="28"/>
          <w:szCs w:val="28"/>
        </w:rPr>
        <w:t>六</w:t>
      </w:r>
      <w:bookmarkEnd w:id="135"/>
      <w:bookmarkEnd w:id="136"/>
      <w:bookmarkEnd w:id="137"/>
      <w:bookmarkEnd w:id="138"/>
      <w:bookmarkEnd w:id="139"/>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pacing w:line="360" w:lineRule="auto"/>
              <w:rPr>
                <w:b/>
                <w:bCs/>
                <w:color w:val="000000" w:themeColor="text1"/>
                <w:sz w:val="24"/>
              </w:rPr>
            </w:pPr>
            <w:r>
              <w:rPr>
                <w:rFonts w:hint="eastAsia"/>
                <w:b/>
                <w:bCs/>
                <w:color w:val="000000" w:themeColor="text1"/>
                <w:sz w:val="24"/>
              </w:rPr>
              <w:t>五、气体监测分析过程中的质量保证和质量控制</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 xml:space="preserve">本次废气监测的质量保证严格按照编制的《质量手册》、《程序文件》等质量体系文件的要求，实施全过程质量控制。废气监测仪器均符合国家有关标准或技术要求，监测前对使用的仪器均进行浓度校准，按规定对废气测试仪进行现场检漏，采样和分析过程严格按照 </w:t>
            </w:r>
            <w:r>
              <w:rPr>
                <w:rFonts w:ascii="宋体" w:hAnsi="宋体" w:cs="宋体"/>
                <w:color w:val="000000" w:themeColor="text1"/>
                <w:sz w:val="24"/>
              </w:rPr>
              <w:t>HJ/T397-2007《固定源废气监测技术规范》进行，无组织排放按H</w:t>
            </w:r>
            <w:r>
              <w:rPr>
                <w:rFonts w:hint="eastAsia" w:ascii="宋体" w:hAnsi="宋体" w:cs="宋体"/>
                <w:color w:val="000000" w:themeColor="text1"/>
                <w:sz w:val="24"/>
              </w:rPr>
              <w:t>J</w:t>
            </w:r>
            <w:r>
              <w:rPr>
                <w:rFonts w:ascii="宋体" w:hAnsi="宋体" w:cs="宋体"/>
                <w:color w:val="000000" w:themeColor="text1"/>
                <w:sz w:val="24"/>
              </w:rPr>
              <w:t>/T55-2000《大气污染物无组织排放监测技术导则》进行</w:t>
            </w:r>
            <w:r>
              <w:rPr>
                <w:rFonts w:hint="eastAsia" w:ascii="宋体" w:hAnsi="宋体" w:cs="宋体"/>
                <w:color w:val="000000" w:themeColor="text1"/>
                <w:sz w:val="24"/>
              </w:rPr>
              <w:t>监测。</w:t>
            </w:r>
          </w:p>
          <w:p>
            <w:pPr>
              <w:spacing w:line="360" w:lineRule="auto"/>
              <w:rPr>
                <w:b/>
                <w:bCs/>
                <w:color w:val="000000" w:themeColor="text1"/>
                <w:sz w:val="24"/>
              </w:rPr>
            </w:pPr>
            <w:r>
              <w:rPr>
                <w:rFonts w:hint="eastAsia"/>
                <w:b/>
                <w:bCs/>
                <w:color w:val="000000" w:themeColor="text1"/>
                <w:sz w:val="24"/>
              </w:rPr>
              <w:t>六、噪声监测分析过程中的质量保证和质量控制</w:t>
            </w:r>
          </w:p>
          <w:p>
            <w:pPr>
              <w:ind w:firstLine="480" w:firstLineChars="200"/>
              <w:rPr>
                <w:rFonts w:cs="宋体"/>
                <w:color w:val="000000" w:themeColor="text1"/>
                <w:sz w:val="24"/>
              </w:rPr>
            </w:pPr>
            <w:r>
              <w:rPr>
                <w:rFonts w:hint="eastAsia" w:ascii="宋体" w:hAnsi="宋体" w:cs="宋体"/>
                <w:color w:val="000000" w:themeColor="text1"/>
                <w:sz w:val="24"/>
              </w:rPr>
              <w:t>噪声仪在使用前后用声校准器校准，校准读数偏差不大于 0.5 分贝。</w:t>
            </w:r>
            <w:r>
              <w:rPr>
                <w:rFonts w:hint="eastAsia" w:cs="宋体"/>
                <w:color w:val="000000" w:themeColor="text1"/>
                <w:sz w:val="24"/>
              </w:rPr>
              <w:t>噪声质量控制表见表6-4。</w:t>
            </w:r>
          </w:p>
          <w:p>
            <w:pPr>
              <w:jc w:val="center"/>
              <w:rPr>
                <w:rFonts w:ascii="黑体" w:eastAsia="黑体"/>
                <w:color w:val="000000" w:themeColor="text1"/>
                <w:sz w:val="24"/>
              </w:rPr>
            </w:pPr>
            <w:r>
              <w:rPr>
                <w:rFonts w:hint="eastAsia" w:ascii="黑体" w:eastAsia="黑体"/>
                <w:color w:val="000000" w:themeColor="text1"/>
                <w:sz w:val="24"/>
              </w:rPr>
              <w:t>表6-4噪声质量控制表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355"/>
              <w:gridCol w:w="1518"/>
              <w:gridCol w:w="1369"/>
              <w:gridCol w:w="2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40" w:type="dxa"/>
                  <w:vMerge w:val="restart"/>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监测日期</w:t>
                  </w:r>
                </w:p>
              </w:tc>
              <w:tc>
                <w:tcPr>
                  <w:tcW w:w="4242" w:type="dxa"/>
                  <w:gridSpan w:val="3"/>
                  <w:tcBorders>
                    <w:tl2br w:val="nil"/>
                    <w:tr2bl w:val="nil"/>
                  </w:tcBorders>
                  <w:vAlign w:val="center"/>
                </w:tcPr>
                <w:p>
                  <w:pPr>
                    <w:snapToGrid w:val="0"/>
                    <w:jc w:val="center"/>
                    <w:rPr>
                      <w:rFonts w:ascii="宋体" w:hAnsi="宋体"/>
                      <w:b/>
                      <w:bCs/>
                      <w:color w:val="000000" w:themeColor="text1"/>
                      <w:szCs w:val="21"/>
                    </w:rPr>
                  </w:pPr>
                  <w:r>
                    <w:rPr>
                      <w:rFonts w:hint="eastAsia" w:ascii="宋体" w:hAnsi="宋体"/>
                      <w:b/>
                      <w:bCs/>
                      <w:color w:val="000000" w:themeColor="text1"/>
                      <w:szCs w:val="21"/>
                    </w:rPr>
                    <w:t>校准声级（dB）</w:t>
                  </w:r>
                </w:p>
              </w:tc>
              <w:tc>
                <w:tcPr>
                  <w:tcW w:w="2889" w:type="dxa"/>
                  <w:tcBorders>
                    <w:tl2br w:val="nil"/>
                    <w:tr2bl w:val="nil"/>
                  </w:tcBorders>
                  <w:vAlign w:val="center"/>
                </w:tcPr>
                <w:p>
                  <w:pPr>
                    <w:jc w:val="center"/>
                    <w:rPr>
                      <w:b/>
                      <w:bCs/>
                      <w:color w:val="000000" w:themeColor="text1"/>
                      <w:szCs w:val="21"/>
                    </w:rPr>
                  </w:pPr>
                  <w:r>
                    <w:rPr>
                      <w:rFonts w:hint="eastAsia"/>
                      <w:b/>
                      <w:bCs/>
                      <w:color w:val="000000" w:themeColor="text1"/>
                      <w:szCs w:val="21"/>
                    </w:rPr>
                    <w:t>备</w:t>
                  </w:r>
                  <w:r>
                    <w:rPr>
                      <w:b/>
                      <w:bCs/>
                      <w:color w:val="000000" w:themeColor="text1"/>
                      <w:szCs w:val="21"/>
                    </w:rPr>
                    <w:t xml:space="preserve">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40" w:type="dxa"/>
                  <w:vMerge w:val="continue"/>
                  <w:tcBorders>
                    <w:tl2br w:val="nil"/>
                    <w:tr2bl w:val="nil"/>
                  </w:tcBorders>
                  <w:vAlign w:val="center"/>
                </w:tcPr>
                <w:p>
                  <w:pPr>
                    <w:snapToGrid w:val="0"/>
                    <w:jc w:val="center"/>
                    <w:rPr>
                      <w:rFonts w:ascii="宋体" w:hAnsi="宋体"/>
                      <w:color w:val="000000" w:themeColor="text1"/>
                      <w:szCs w:val="21"/>
                    </w:rPr>
                  </w:pPr>
                </w:p>
              </w:tc>
              <w:tc>
                <w:tcPr>
                  <w:tcW w:w="1355"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测量前</w:t>
                  </w:r>
                </w:p>
              </w:tc>
              <w:tc>
                <w:tcPr>
                  <w:tcW w:w="151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测量后</w:t>
                  </w:r>
                </w:p>
              </w:tc>
              <w:tc>
                <w:tcPr>
                  <w:tcW w:w="1369"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差值</w:t>
                  </w:r>
                </w:p>
              </w:tc>
              <w:tc>
                <w:tcPr>
                  <w:tcW w:w="2889" w:type="dxa"/>
                  <w:vMerge w:val="restart"/>
                  <w:tcBorders>
                    <w:tl2br w:val="nil"/>
                    <w:tr2bl w:val="nil"/>
                  </w:tcBorders>
                  <w:vAlign w:val="center"/>
                </w:tcPr>
                <w:p>
                  <w:pPr>
                    <w:jc w:val="center"/>
                    <w:rPr>
                      <w:color w:val="000000" w:themeColor="text1"/>
                      <w:szCs w:val="21"/>
                    </w:rPr>
                  </w:pPr>
                  <w:r>
                    <w:rPr>
                      <w:rFonts w:hint="eastAsia" w:ascii="宋体" w:hAnsi="宋体"/>
                      <w:color w:val="000000" w:themeColor="text1"/>
                      <w:szCs w:val="21"/>
                    </w:rPr>
                    <w:t>测量前、后校准声级差值小于 0.5 dB（A），测量数据有效</w:t>
                  </w:r>
                  <w:r>
                    <w:rPr>
                      <w:rFonts w:hint="eastAsia"/>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4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kern w:val="0"/>
                      <w:szCs w:val="21"/>
                    </w:rPr>
                    <w:t>10月24日</w:t>
                  </w:r>
                </w:p>
              </w:tc>
              <w:tc>
                <w:tcPr>
                  <w:tcW w:w="1355"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93.8</w:t>
                  </w:r>
                </w:p>
              </w:tc>
              <w:tc>
                <w:tcPr>
                  <w:tcW w:w="151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93.8</w:t>
                  </w:r>
                </w:p>
              </w:tc>
              <w:tc>
                <w:tcPr>
                  <w:tcW w:w="1369"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0</w:t>
                  </w:r>
                </w:p>
              </w:tc>
              <w:tc>
                <w:tcPr>
                  <w:tcW w:w="2889" w:type="dxa"/>
                  <w:vMerge w:val="continue"/>
                  <w:tcBorders>
                    <w:tl2br w:val="nil"/>
                    <w:tr2bl w:val="nil"/>
                  </w:tcBorders>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94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kern w:val="0"/>
                      <w:szCs w:val="21"/>
                    </w:rPr>
                    <w:t>10月25日</w:t>
                  </w:r>
                </w:p>
              </w:tc>
              <w:tc>
                <w:tcPr>
                  <w:tcW w:w="1355"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93.8</w:t>
                  </w:r>
                </w:p>
              </w:tc>
              <w:tc>
                <w:tcPr>
                  <w:tcW w:w="1518"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93.8</w:t>
                  </w:r>
                </w:p>
              </w:tc>
              <w:tc>
                <w:tcPr>
                  <w:tcW w:w="1369" w:type="dxa"/>
                  <w:tcBorders>
                    <w:tl2br w:val="nil"/>
                    <w:tr2bl w:val="nil"/>
                  </w:tcBorders>
                  <w:vAlign w:val="center"/>
                </w:tcPr>
                <w:p>
                  <w:pPr>
                    <w:snapToGrid w:val="0"/>
                    <w:jc w:val="center"/>
                    <w:rPr>
                      <w:rFonts w:ascii="宋体" w:hAnsi="宋体"/>
                      <w:color w:val="000000" w:themeColor="text1"/>
                      <w:szCs w:val="21"/>
                    </w:rPr>
                  </w:pPr>
                  <w:r>
                    <w:rPr>
                      <w:rFonts w:hint="eastAsia" w:ascii="宋体" w:hAnsi="宋体"/>
                      <w:color w:val="000000" w:themeColor="text1"/>
                      <w:szCs w:val="21"/>
                    </w:rPr>
                    <w:t>0</w:t>
                  </w:r>
                </w:p>
              </w:tc>
              <w:tc>
                <w:tcPr>
                  <w:tcW w:w="2889" w:type="dxa"/>
                  <w:vMerge w:val="continue"/>
                  <w:tcBorders>
                    <w:tl2br w:val="nil"/>
                    <w:tr2bl w:val="nil"/>
                  </w:tcBorders>
                  <w:vAlign w:val="center"/>
                </w:tcPr>
                <w:p>
                  <w:pPr>
                    <w:jc w:val="center"/>
                    <w:rPr>
                      <w:color w:val="000000" w:themeColor="text1"/>
                      <w:szCs w:val="21"/>
                    </w:rPr>
                  </w:pPr>
                </w:p>
              </w:tc>
            </w:tr>
          </w:tbl>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p>
            <w:pPr>
              <w:spacing w:line="360" w:lineRule="auto"/>
              <w:rPr>
                <w:rFonts w:ascii="宋体" w:hAnsi="宋体" w:cs="宋体"/>
                <w:color w:val="FF0000"/>
                <w:sz w:val="24"/>
              </w:rPr>
            </w:pPr>
          </w:p>
        </w:tc>
      </w:tr>
    </w:tbl>
    <w:p>
      <w:pPr>
        <w:outlineLvl w:val="0"/>
        <w:rPr>
          <w:b/>
          <w:color w:val="000000" w:themeColor="text1"/>
          <w:sz w:val="28"/>
          <w:szCs w:val="28"/>
        </w:rPr>
      </w:pPr>
      <w:bookmarkStart w:id="140" w:name="_Toc22451"/>
      <w:bookmarkStart w:id="141" w:name="_Toc25086_WPSOffice_Level1"/>
      <w:bookmarkStart w:id="142" w:name="_Toc10939"/>
      <w:bookmarkStart w:id="143" w:name="_Toc24172"/>
      <w:bookmarkStart w:id="144" w:name="_Toc5708"/>
      <w:bookmarkStart w:id="145" w:name="_Toc21700"/>
      <w:bookmarkStart w:id="146" w:name="_Toc32622"/>
      <w:bookmarkStart w:id="147" w:name="_Toc27554"/>
      <w:bookmarkStart w:id="148" w:name="_Toc27298"/>
      <w:bookmarkStart w:id="149" w:name="_Toc16459"/>
      <w:bookmarkStart w:id="150" w:name="_Toc14405"/>
      <w:r>
        <w:rPr>
          <w:rFonts w:hint="eastAsia"/>
          <w:b/>
          <w:color w:val="000000" w:themeColor="text1"/>
          <w:sz w:val="28"/>
          <w:szCs w:val="28"/>
        </w:rPr>
        <w:t>表七 监测结果及评价</w:t>
      </w:r>
      <w:bookmarkEnd w:id="140"/>
      <w:bookmarkEnd w:id="141"/>
      <w:bookmarkEnd w:id="142"/>
      <w:bookmarkEnd w:id="143"/>
      <w:bookmarkEnd w:id="144"/>
      <w:bookmarkEnd w:id="145"/>
      <w:bookmarkEnd w:id="146"/>
      <w:bookmarkEnd w:id="147"/>
      <w:bookmarkEnd w:id="148"/>
      <w:bookmarkEnd w:id="149"/>
      <w:bookmarkEnd w:id="150"/>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606" w:hRule="atLeast"/>
          <w:jc w:val="center"/>
        </w:trPr>
        <w:tc>
          <w:tcPr>
            <w:tcW w:w="9354" w:type="dxa"/>
          </w:tcPr>
          <w:p>
            <w:pPr>
              <w:rPr>
                <w:rFonts w:ascii="宋体" w:hAnsi="宋体" w:cs="宋体"/>
                <w:b/>
                <w:bCs/>
                <w:color w:val="000000" w:themeColor="text1"/>
                <w:sz w:val="24"/>
              </w:rPr>
            </w:pPr>
            <w:r>
              <w:rPr>
                <w:rFonts w:hint="eastAsia" w:ascii="宋体" w:hAnsi="宋体" w:cs="宋体"/>
                <w:b/>
                <w:bCs/>
                <w:color w:val="000000" w:themeColor="text1"/>
                <w:sz w:val="24"/>
              </w:rPr>
              <w:t>一、工况</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2018年10月24日-25日验收监测期间，该项目生产正常、各项污染物处理设施均正常运转，生产负荷达75%以上，符合验收监测工况要求，工况统计表见表7-1。</w:t>
            </w:r>
          </w:p>
          <w:p>
            <w:pPr>
              <w:jc w:val="center"/>
              <w:rPr>
                <w:rFonts w:ascii="黑体" w:eastAsia="黑体"/>
                <w:color w:val="000000" w:themeColor="text1"/>
                <w:sz w:val="24"/>
              </w:rPr>
            </w:pPr>
            <w:r>
              <w:rPr>
                <w:rFonts w:hint="eastAsia" w:ascii="黑体" w:eastAsia="黑体"/>
                <w:color w:val="000000" w:themeColor="text1"/>
                <w:sz w:val="24"/>
              </w:rPr>
              <w:t>表7-1 验收期间工况统计表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70"/>
              <w:gridCol w:w="1650"/>
              <w:gridCol w:w="1665"/>
              <w:gridCol w:w="1815"/>
              <w:gridCol w:w="1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日期</w:t>
                  </w:r>
                </w:p>
              </w:tc>
              <w:tc>
                <w:tcPr>
                  <w:tcW w:w="1770"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产品类别</w:t>
                  </w:r>
                </w:p>
              </w:tc>
              <w:tc>
                <w:tcPr>
                  <w:tcW w:w="1650"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日实际生产量</w:t>
                  </w:r>
                </w:p>
              </w:tc>
              <w:tc>
                <w:tcPr>
                  <w:tcW w:w="1665"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日设计生产量</w:t>
                  </w:r>
                </w:p>
              </w:tc>
              <w:tc>
                <w:tcPr>
                  <w:tcW w:w="1815"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占设计负荷（%）</w:t>
                  </w:r>
                </w:p>
              </w:tc>
              <w:tc>
                <w:tcPr>
                  <w:tcW w:w="1271" w:type="dxa"/>
                  <w:vAlign w:val="center"/>
                </w:tcPr>
                <w:p>
                  <w:pPr>
                    <w:pStyle w:val="14"/>
                    <w:jc w:val="center"/>
                    <w:rPr>
                      <w:rFonts w:ascii="宋体" w:hAnsi="宋体" w:eastAsia="宋体" w:cs="宋体"/>
                      <w:b/>
                      <w:bCs/>
                      <w:color w:val="000000" w:themeColor="text1"/>
                      <w:sz w:val="21"/>
                      <w:szCs w:val="21"/>
                    </w:rPr>
                  </w:pPr>
                  <w:r>
                    <w:rPr>
                      <w:rFonts w:hint="eastAsia" w:ascii="宋体" w:hAnsi="宋体" w:eastAsia="宋体" w:cs="宋体"/>
                      <w:b/>
                      <w:bCs/>
                      <w:color w:val="000000" w:themeColor="text1"/>
                      <w:sz w:val="21"/>
                      <w:szCs w:val="21"/>
                    </w:rPr>
                    <w:t>年工作天数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restart"/>
                  <w:vAlign w:val="center"/>
                </w:tcPr>
                <w:p>
                  <w:pPr>
                    <w:jc w:val="center"/>
                    <w:rPr>
                      <w:rFonts w:ascii="宋体" w:hAnsi="宋体" w:cs="宋体"/>
                      <w:color w:val="000000" w:themeColor="text1"/>
                      <w:szCs w:val="21"/>
                    </w:rPr>
                  </w:pPr>
                  <w:r>
                    <w:rPr>
                      <w:rFonts w:hint="eastAsia" w:ascii="宋体" w:hAnsi="宋体" w:cs="宋体"/>
                      <w:color w:val="000000" w:themeColor="text1"/>
                      <w:szCs w:val="21"/>
                    </w:rPr>
                    <w:t>10月24日</w:t>
                  </w: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钢筋桁架楼承板</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45吨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50吨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90</w:t>
                  </w:r>
                </w:p>
              </w:tc>
              <w:tc>
                <w:tcPr>
                  <w:tcW w:w="1271" w:type="dxa"/>
                  <w:vMerge w:val="restart"/>
                  <w:vAlign w:val="center"/>
                </w:tcPr>
                <w:p>
                  <w:pPr>
                    <w:jc w:val="center"/>
                    <w:rPr>
                      <w:rFonts w:ascii="宋体" w:hAnsi="宋体" w:cs="宋体"/>
                      <w:color w:val="000000" w:themeColor="text1"/>
                      <w:szCs w:val="21"/>
                    </w:rPr>
                  </w:pPr>
                  <w:r>
                    <w:rPr>
                      <w:rFonts w:hint="eastAsia" w:ascii="宋体" w:hAnsi="宋体" w:cs="宋体"/>
                      <w:color w:val="000000" w:themeColor="text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continue"/>
                  <w:vAlign w:val="center"/>
                </w:tcPr>
                <w:p>
                  <w:pPr>
                    <w:jc w:val="center"/>
                    <w:rPr>
                      <w:rFonts w:ascii="宋体" w:hAnsi="宋体" w:cs="宋体"/>
                      <w:color w:val="000000" w:themeColor="text1"/>
                      <w:szCs w:val="21"/>
                    </w:rPr>
                  </w:pP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压型钢板</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12吨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13.3吨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90.2</w:t>
                  </w:r>
                </w:p>
              </w:tc>
              <w:tc>
                <w:tcPr>
                  <w:tcW w:w="1271" w:type="dxa"/>
                  <w:vMerge w:val="continue"/>
                  <w:vAlign w:val="center"/>
                </w:tcPr>
                <w:p>
                  <w:pPr>
                    <w:jc w:val="center"/>
                    <w:rPr>
                      <w:rFonts w:ascii="宋体" w:hAnsi="宋体" w:cs="宋体"/>
                      <w:color w:val="000000" w:themeColor="text1"/>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continue"/>
                  <w:vAlign w:val="center"/>
                </w:tcPr>
                <w:p>
                  <w:pPr>
                    <w:jc w:val="center"/>
                    <w:rPr>
                      <w:rFonts w:ascii="宋体" w:hAnsi="宋体" w:cs="宋体"/>
                      <w:color w:val="000000" w:themeColor="text1"/>
                      <w:szCs w:val="21"/>
                    </w:rPr>
                  </w:pP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冷弯型钢</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2.6吨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3.35吨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77.6</w:t>
                  </w:r>
                </w:p>
              </w:tc>
              <w:tc>
                <w:tcPr>
                  <w:tcW w:w="1271" w:type="dxa"/>
                  <w:vMerge w:val="continue"/>
                  <w:vAlign w:val="center"/>
                </w:tcPr>
                <w:p>
                  <w:pPr>
                    <w:jc w:val="center"/>
                    <w:rPr>
                      <w:rFonts w:ascii="宋体" w:hAnsi="宋体" w:cs="宋体"/>
                      <w:color w:val="000000" w:themeColor="text1"/>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restart"/>
                  <w:vAlign w:val="center"/>
                </w:tcPr>
                <w:p>
                  <w:pPr>
                    <w:jc w:val="center"/>
                    <w:rPr>
                      <w:rFonts w:ascii="宋体" w:hAnsi="宋体" w:cs="宋体"/>
                      <w:color w:val="000000" w:themeColor="text1"/>
                      <w:szCs w:val="21"/>
                    </w:rPr>
                  </w:pPr>
                  <w:r>
                    <w:rPr>
                      <w:rFonts w:hint="eastAsia" w:ascii="宋体" w:hAnsi="宋体" w:cs="宋体"/>
                      <w:color w:val="000000" w:themeColor="text1"/>
                      <w:szCs w:val="21"/>
                    </w:rPr>
                    <w:t>10月25日</w:t>
                  </w: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钢筋桁架楼承板</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43吨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50吨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86</w:t>
                  </w:r>
                </w:p>
              </w:tc>
              <w:tc>
                <w:tcPr>
                  <w:tcW w:w="1271" w:type="dxa"/>
                  <w:vMerge w:val="continue"/>
                  <w:vAlign w:val="center"/>
                </w:tcPr>
                <w:p>
                  <w:pPr>
                    <w:jc w:val="center"/>
                    <w:rPr>
                      <w:rFonts w:ascii="宋体" w:hAnsi="宋体" w:cs="宋体"/>
                      <w:color w:val="000000" w:themeColor="text1"/>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continue"/>
                  <w:vAlign w:val="center"/>
                </w:tcPr>
                <w:p>
                  <w:pPr>
                    <w:jc w:val="center"/>
                    <w:rPr>
                      <w:rFonts w:ascii="宋体" w:hAnsi="宋体" w:cs="宋体"/>
                      <w:color w:val="000000" w:themeColor="text1"/>
                      <w:szCs w:val="21"/>
                    </w:rPr>
                  </w:pP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压型钢板</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11.5吨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13.3吨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86.5</w:t>
                  </w:r>
                </w:p>
              </w:tc>
              <w:tc>
                <w:tcPr>
                  <w:tcW w:w="1271" w:type="dxa"/>
                  <w:vMerge w:val="continue"/>
                  <w:vAlign w:val="center"/>
                </w:tcPr>
                <w:p>
                  <w:pPr>
                    <w:jc w:val="center"/>
                    <w:rPr>
                      <w:rFonts w:ascii="宋体" w:hAnsi="宋体" w:cs="宋体"/>
                      <w:color w:val="000000" w:themeColor="text1"/>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continue"/>
                  <w:vAlign w:val="center"/>
                </w:tcPr>
                <w:p>
                  <w:pPr>
                    <w:jc w:val="center"/>
                    <w:rPr>
                      <w:rFonts w:ascii="宋体" w:hAnsi="宋体" w:cs="宋体"/>
                      <w:color w:val="000000" w:themeColor="text1"/>
                      <w:szCs w:val="21"/>
                    </w:rPr>
                  </w:pPr>
                </w:p>
              </w:tc>
              <w:tc>
                <w:tcPr>
                  <w:tcW w:w="177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冷弯型钢</w:t>
                  </w:r>
                </w:p>
              </w:tc>
              <w:tc>
                <w:tcPr>
                  <w:tcW w:w="1650"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2.8吨</w:t>
                  </w:r>
                </w:p>
              </w:tc>
              <w:tc>
                <w:tcPr>
                  <w:tcW w:w="166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3.35吨</w:t>
                  </w:r>
                </w:p>
              </w:tc>
              <w:tc>
                <w:tcPr>
                  <w:tcW w:w="1815"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83.6</w:t>
                  </w:r>
                </w:p>
              </w:tc>
              <w:tc>
                <w:tcPr>
                  <w:tcW w:w="1271" w:type="dxa"/>
                  <w:vMerge w:val="continue"/>
                  <w:vAlign w:val="center"/>
                </w:tcPr>
                <w:p>
                  <w:pPr>
                    <w:jc w:val="center"/>
                    <w:rPr>
                      <w:rFonts w:ascii="宋体" w:hAnsi="宋体" w:cs="宋体"/>
                      <w:color w:val="000000" w:themeColor="text1"/>
                      <w:sz w:val="24"/>
                    </w:rPr>
                  </w:pPr>
                </w:p>
              </w:tc>
            </w:tr>
          </w:tbl>
          <w:p>
            <w:pPr>
              <w:rPr>
                <w:rFonts w:ascii="宋体" w:hAnsi="宋体"/>
                <w:color w:val="FF0000"/>
                <w:szCs w:val="21"/>
              </w:rPr>
            </w:pPr>
            <w:r>
              <w:rPr>
                <w:rFonts w:hint="eastAsia" w:ascii="宋体" w:hAnsi="宋体"/>
                <w:color w:val="000000" w:themeColor="text1"/>
                <w:szCs w:val="21"/>
              </w:rPr>
              <w:t>注：本次</w:t>
            </w:r>
            <w:r>
              <w:rPr>
                <w:rFonts w:hint="eastAsia" w:ascii="宋体" w:hAnsi="宋体"/>
                <w:color w:val="000000" w:themeColor="text1"/>
                <w:szCs w:val="21"/>
                <w:lang w:eastAsia="zh-CN"/>
              </w:rPr>
              <w:t>验收以</w:t>
            </w:r>
            <w:r>
              <w:rPr>
                <w:rFonts w:hint="eastAsia" w:ascii="宋体" w:hAnsi="宋体"/>
                <w:color w:val="000000" w:themeColor="text1"/>
                <w:szCs w:val="21"/>
              </w:rPr>
              <w:t>年产钢筋桁架楼承板15000吨，年产压型钢板4000吨，年产冷弯型钢1000吨</w:t>
            </w:r>
            <w:r>
              <w:rPr>
                <w:rFonts w:hint="eastAsia" w:ascii="宋体" w:hAnsi="宋体"/>
                <w:color w:val="000000" w:themeColor="text1"/>
                <w:szCs w:val="21"/>
                <w:lang w:eastAsia="zh-CN"/>
              </w:rPr>
              <w:t>的生产能力统计工况</w:t>
            </w:r>
            <w:r>
              <w:rPr>
                <w:rFonts w:hint="eastAsia" w:ascii="宋体" w:hAnsi="宋体"/>
                <w:color w:val="000000" w:themeColor="text1"/>
                <w:szCs w:val="21"/>
              </w:rPr>
              <w:t>。</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二、污染物达标排放监测结果</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1、废水监测结果及评价</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2018年10月24日-25日验收监测期间，废水排口中pH范围为7.21～7.39，化学需氧量、悬浮物、动植物油日均排放浓度最大值分别为36mg/L、10mg/L、0.20mg/L，均符合《污水综合排放标准》表4三级标准；氨氮、总磷日均排放浓度最大值分别为15.8mg/L、1.14mg/L，均符合《污水排入城镇下水道水质标准》（批复标准）及《污水排入城镇下水道水质标准》（GB/T31962-2015）（参照标准）</w:t>
            </w:r>
            <w:r>
              <w:rPr>
                <w:rFonts w:hint="eastAsia" w:ascii="宋体" w:hAnsi="宋体"/>
                <w:color w:val="000000"/>
                <w:szCs w:val="21"/>
              </w:rPr>
              <w:t>；</w:t>
            </w:r>
            <w:r>
              <w:rPr>
                <w:rFonts w:hint="eastAsia" w:ascii="宋体" w:hAnsi="宋体" w:cs="宋体"/>
                <w:color w:val="000000" w:themeColor="text1"/>
                <w:sz w:val="24"/>
              </w:rPr>
              <w:t>雨水排口中pH范围为6.92～7.12，化学需氧量排放浓度最大值为22mg/L，环评及批复无标准要求，数据仅供参考。监测结果见表7-2</w:t>
            </w:r>
            <w:r>
              <w:rPr>
                <w:rFonts w:hint="eastAsia" w:ascii="宋体" w:hAnsi="宋体"/>
                <w:color w:val="000000" w:themeColor="text1"/>
                <w:sz w:val="24"/>
              </w:rPr>
              <w:t>～表7-3</w:t>
            </w:r>
            <w:r>
              <w:rPr>
                <w:rFonts w:hint="eastAsia" w:ascii="宋体" w:hAnsi="宋体" w:cs="宋体"/>
                <w:color w:val="000000" w:themeColor="text1"/>
                <w:sz w:val="24"/>
              </w:rPr>
              <w:t>。</w:t>
            </w:r>
          </w:p>
          <w:p>
            <w:pPr>
              <w:jc w:val="center"/>
              <w:rPr>
                <w:rFonts w:ascii="黑体" w:eastAsia="黑体"/>
                <w:color w:val="000000" w:themeColor="text1"/>
                <w:sz w:val="24"/>
              </w:rPr>
            </w:pPr>
            <w:r>
              <w:rPr>
                <w:rFonts w:hint="eastAsia" w:ascii="黑体" w:eastAsia="黑体"/>
                <w:color w:val="000000" w:themeColor="text1"/>
                <w:sz w:val="24"/>
              </w:rPr>
              <w:t>表7-2 废水排口（S1）监测结果及评价</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185"/>
              <w:gridCol w:w="1338"/>
              <w:gridCol w:w="1166"/>
              <w:gridCol w:w="1453"/>
              <w:gridCol w:w="1279"/>
              <w:gridCol w:w="1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点位名称</w:t>
                  </w:r>
                </w:p>
              </w:tc>
              <w:tc>
                <w:tcPr>
                  <w:tcW w:w="1185"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日期</w:t>
                  </w:r>
                </w:p>
              </w:tc>
              <w:tc>
                <w:tcPr>
                  <w:tcW w:w="1338"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测试名称</w:t>
                  </w:r>
                </w:p>
              </w:tc>
              <w:tc>
                <w:tcPr>
                  <w:tcW w:w="1166"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单位</w:t>
                  </w:r>
                </w:p>
              </w:tc>
              <w:tc>
                <w:tcPr>
                  <w:tcW w:w="1453"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日均值</w:t>
                  </w:r>
                </w:p>
              </w:tc>
              <w:tc>
                <w:tcPr>
                  <w:tcW w:w="1279"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评价值</w:t>
                  </w:r>
                </w:p>
              </w:tc>
              <w:tc>
                <w:tcPr>
                  <w:tcW w:w="1479" w:type="dxa"/>
                  <w:vAlign w:val="center"/>
                </w:tcPr>
                <w:p>
                  <w:pPr>
                    <w:widowControl/>
                    <w:spacing w:line="240" w:lineRule="atLeast"/>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restart"/>
                  <w:vAlign w:val="center"/>
                </w:tcPr>
                <w:p>
                  <w:pPr>
                    <w:spacing w:line="240" w:lineRule="atLeast"/>
                    <w:jc w:val="center"/>
                    <w:rPr>
                      <w:rFonts w:ascii="宋体" w:hAnsi="宋体" w:cs="宋体"/>
                      <w:color w:val="000000" w:themeColor="text1"/>
                      <w:kern w:val="0"/>
                      <w:szCs w:val="21"/>
                    </w:rPr>
                  </w:pPr>
                  <w:r>
                    <w:rPr>
                      <w:rFonts w:hint="eastAsia" w:ascii="宋体" w:hAnsi="宋体" w:cs="宋体"/>
                      <w:color w:val="000000" w:themeColor="text1"/>
                      <w:kern w:val="0"/>
                      <w:szCs w:val="21"/>
                    </w:rPr>
                    <w:t>废水排口（S1）</w:t>
                  </w:r>
                </w:p>
              </w:tc>
              <w:tc>
                <w:tcPr>
                  <w:tcW w:w="1185" w:type="dxa"/>
                  <w:vMerge w:val="restart"/>
                  <w:vAlign w:val="center"/>
                </w:tcPr>
                <w:p>
                  <w:pPr>
                    <w:jc w:val="center"/>
                    <w:rPr>
                      <w:rFonts w:ascii="宋体" w:hAnsi="宋体" w:cs="宋体"/>
                      <w:color w:val="000000" w:themeColor="text1"/>
                      <w:kern w:val="0"/>
                      <w:szCs w:val="21"/>
                    </w:rPr>
                  </w:pPr>
                  <w:r>
                    <w:rPr>
                      <w:rFonts w:hint="eastAsia" w:ascii="宋体" w:hAnsi="宋体"/>
                      <w:color w:val="000000" w:themeColor="text1"/>
                      <w:kern w:val="0"/>
                      <w:szCs w:val="21"/>
                    </w:rPr>
                    <w:t>10月24日</w:t>
                  </w: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pH</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无量纲</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7.21～7.36</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6～9</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CODcr</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36</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500</w:t>
                  </w:r>
                </w:p>
              </w:tc>
              <w:tc>
                <w:tcPr>
                  <w:tcW w:w="1479" w:type="dxa"/>
                  <w:vAlign w:val="center"/>
                </w:tcPr>
                <w:p>
                  <w:pPr>
                    <w:widowControl/>
                    <w:jc w:val="center"/>
                    <w:textAlignment w:val="center"/>
                    <w:rPr>
                      <w:rFonts w:ascii="宋体" w:hAnsi="宋体"/>
                      <w:color w:val="000000" w:themeColor="text1"/>
                      <w:sz w:val="18"/>
                      <w:szCs w:val="18"/>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SS</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9</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400</w:t>
                  </w:r>
                </w:p>
              </w:tc>
              <w:tc>
                <w:tcPr>
                  <w:tcW w:w="1479"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氨氮</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15.8</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45</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总磷</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1.14</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8</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jc w:val="center"/>
                    <w:rPr>
                      <w:rFonts w:ascii="宋体" w:hAnsi="宋体" w:cs="宋体"/>
                      <w:color w:val="000000" w:themeColor="text1"/>
                      <w:szCs w:val="21"/>
                    </w:rPr>
                  </w:pPr>
                </w:p>
              </w:tc>
              <w:tc>
                <w:tcPr>
                  <w:tcW w:w="1185" w:type="dxa"/>
                  <w:vMerge w:val="continue"/>
                  <w:vAlign w:val="center"/>
                </w:tcPr>
                <w:p>
                  <w:pPr>
                    <w:jc w:val="center"/>
                    <w:rPr>
                      <w:rFonts w:ascii="宋体" w:hAnsi="宋体" w:cs="宋体"/>
                      <w:color w:val="000000" w:themeColor="text1"/>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动植物油</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0.18</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100</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widowControl/>
                    <w:spacing w:line="240" w:lineRule="atLeast"/>
                    <w:jc w:val="center"/>
                    <w:rPr>
                      <w:rFonts w:ascii="宋体" w:hAnsi="宋体" w:cs="宋体"/>
                      <w:color w:val="000000" w:themeColor="text1"/>
                      <w:kern w:val="0"/>
                      <w:szCs w:val="21"/>
                    </w:rPr>
                  </w:pPr>
                </w:p>
              </w:tc>
              <w:tc>
                <w:tcPr>
                  <w:tcW w:w="1185" w:type="dxa"/>
                  <w:vMerge w:val="restart"/>
                  <w:vAlign w:val="center"/>
                </w:tcPr>
                <w:p>
                  <w:pPr>
                    <w:jc w:val="center"/>
                    <w:rPr>
                      <w:rFonts w:ascii="宋体" w:hAnsi="宋体" w:cs="宋体"/>
                      <w:color w:val="000000" w:themeColor="text1"/>
                      <w:kern w:val="0"/>
                      <w:szCs w:val="21"/>
                    </w:rPr>
                  </w:pPr>
                  <w:r>
                    <w:rPr>
                      <w:rFonts w:hint="eastAsia" w:ascii="宋体" w:hAnsi="宋体"/>
                      <w:color w:val="000000" w:themeColor="text1"/>
                      <w:kern w:val="0"/>
                      <w:szCs w:val="21"/>
                    </w:rPr>
                    <w:t>10月25日</w:t>
                  </w: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pH</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无量纲</w:t>
                  </w:r>
                </w:p>
              </w:tc>
              <w:tc>
                <w:tcPr>
                  <w:tcW w:w="1453"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7.21～7.39</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6～9</w:t>
                  </w:r>
                </w:p>
              </w:tc>
              <w:tc>
                <w:tcPr>
                  <w:tcW w:w="14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widowControl/>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COD</w:t>
                  </w:r>
                  <w:r>
                    <w:rPr>
                      <w:rFonts w:hint="eastAsia" w:ascii="宋体" w:hAnsi="宋体" w:cs="宋体"/>
                      <w:color w:val="000000" w:themeColor="text1"/>
                      <w:szCs w:val="21"/>
                      <w:vertAlign w:val="subscript"/>
                    </w:rPr>
                    <w:t>cr</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35</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500</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widowControl/>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SS</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10</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400</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widowControl/>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氨氮</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10.5</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45</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widowControl/>
                    <w:spacing w:line="240" w:lineRule="atLeast"/>
                    <w:jc w:val="center"/>
                    <w:rPr>
                      <w:rFonts w:ascii="宋体" w:hAnsi="宋体" w:cs="宋体"/>
                      <w:color w:val="000000" w:themeColor="text1"/>
                      <w:kern w:val="0"/>
                      <w:szCs w:val="21"/>
                    </w:rPr>
                  </w:pPr>
                </w:p>
              </w:tc>
              <w:tc>
                <w:tcPr>
                  <w:tcW w:w="1185" w:type="dxa"/>
                  <w:vMerge w:val="continue"/>
                  <w:vAlign w:val="center"/>
                </w:tcPr>
                <w:p>
                  <w:pPr>
                    <w:widowControl/>
                    <w:spacing w:line="240" w:lineRule="atLeast"/>
                    <w:jc w:val="center"/>
                    <w:rPr>
                      <w:rFonts w:ascii="宋体" w:hAnsi="宋体" w:cs="宋体"/>
                      <w:color w:val="000000" w:themeColor="text1"/>
                      <w:kern w:val="0"/>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总磷</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0.76</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8</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vMerge w:val="continue"/>
                  <w:vAlign w:val="center"/>
                </w:tcPr>
                <w:p>
                  <w:pPr>
                    <w:jc w:val="center"/>
                    <w:rPr>
                      <w:rFonts w:ascii="宋体" w:hAnsi="宋体" w:cs="宋体"/>
                      <w:color w:val="000000" w:themeColor="text1"/>
                      <w:szCs w:val="21"/>
                    </w:rPr>
                  </w:pPr>
                </w:p>
              </w:tc>
              <w:tc>
                <w:tcPr>
                  <w:tcW w:w="1185" w:type="dxa"/>
                  <w:vMerge w:val="continue"/>
                  <w:vAlign w:val="center"/>
                </w:tcPr>
                <w:p>
                  <w:pPr>
                    <w:jc w:val="center"/>
                    <w:rPr>
                      <w:rFonts w:ascii="宋体" w:hAnsi="宋体" w:cs="宋体"/>
                      <w:color w:val="000000" w:themeColor="text1"/>
                      <w:szCs w:val="21"/>
                    </w:rPr>
                  </w:pPr>
                </w:p>
              </w:tc>
              <w:tc>
                <w:tcPr>
                  <w:tcW w:w="133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动植物油</w:t>
                  </w:r>
                </w:p>
              </w:tc>
              <w:tc>
                <w:tcPr>
                  <w:tcW w:w="11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mg/L</w:t>
                  </w:r>
                </w:p>
              </w:tc>
              <w:tc>
                <w:tcPr>
                  <w:tcW w:w="1453"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0.20</w:t>
                  </w:r>
                </w:p>
              </w:tc>
              <w:tc>
                <w:tcPr>
                  <w:tcW w:w="1279"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100</w:t>
                  </w:r>
                </w:p>
              </w:tc>
              <w:tc>
                <w:tcPr>
                  <w:tcW w:w="1479" w:type="dxa"/>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达标</w:t>
                  </w:r>
                </w:p>
              </w:tc>
            </w:tr>
          </w:tbl>
          <w:p>
            <w:pPr>
              <w:rPr>
                <w:rFonts w:ascii="宋体" w:hAnsi="宋体"/>
                <w:color w:val="FF0000"/>
                <w:szCs w:val="21"/>
              </w:rPr>
            </w:pPr>
          </w:p>
        </w:tc>
      </w:tr>
    </w:tbl>
    <w:p>
      <w:pPr>
        <w:rPr>
          <w:b/>
          <w:color w:val="000000" w:themeColor="text1"/>
          <w:sz w:val="28"/>
          <w:szCs w:val="28"/>
        </w:rPr>
      </w:pPr>
      <w:bookmarkStart w:id="151" w:name="_Toc29103"/>
      <w:bookmarkStart w:id="152" w:name="_Toc13098"/>
      <w:bookmarkStart w:id="153" w:name="_Toc5983"/>
      <w:bookmarkStart w:id="154" w:name="_Toc816"/>
      <w:bookmarkStart w:id="155" w:name="_Toc1810"/>
      <w:bookmarkStart w:id="156" w:name="_Toc5563"/>
      <w:bookmarkStart w:id="157" w:name="_Toc31091"/>
      <w:bookmarkStart w:id="158" w:name="_Toc4133"/>
      <w:bookmarkStart w:id="159" w:name="_Toc13270"/>
      <w:bookmarkStart w:id="160" w:name="_Toc8719_WPSOffice_Level1"/>
      <w:bookmarkStart w:id="161" w:name="_Toc17931"/>
      <w:bookmarkStart w:id="162" w:name="_Toc30979"/>
      <w:r>
        <w:rPr>
          <w:rFonts w:hint="eastAsia"/>
          <w:b/>
          <w:color w:val="000000" w:themeColor="text1"/>
          <w:sz w:val="28"/>
          <w:szCs w:val="28"/>
        </w:rPr>
        <w:t>续表</w:t>
      </w:r>
      <w:bookmarkEnd w:id="151"/>
      <w:bookmarkEnd w:id="152"/>
      <w:bookmarkEnd w:id="153"/>
      <w:bookmarkEnd w:id="154"/>
      <w:bookmarkEnd w:id="155"/>
      <w:bookmarkEnd w:id="156"/>
      <w:bookmarkEnd w:id="157"/>
      <w:r>
        <w:rPr>
          <w:rFonts w:hint="eastAsia"/>
          <w:b/>
          <w:color w:val="000000" w:themeColor="text1"/>
          <w:sz w:val="28"/>
          <w:szCs w:val="28"/>
        </w:rPr>
        <w:t>七</w:t>
      </w:r>
      <w:bookmarkEnd w:id="158"/>
      <w:bookmarkEnd w:id="159"/>
      <w:bookmarkEnd w:id="160"/>
      <w:bookmarkEnd w:id="161"/>
      <w:bookmarkEnd w:id="162"/>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jc w:val="center"/>
              <w:rPr>
                <w:rFonts w:ascii="黑体" w:eastAsia="黑体"/>
                <w:color w:val="000000" w:themeColor="text1"/>
                <w:sz w:val="24"/>
              </w:rPr>
            </w:pPr>
            <w:r>
              <w:rPr>
                <w:rFonts w:hint="eastAsia" w:ascii="黑体" w:eastAsia="黑体"/>
                <w:color w:val="000000" w:themeColor="text1"/>
                <w:sz w:val="24"/>
              </w:rPr>
              <w:t>表7-3 雨水排口（S2）监测结果及评价</w:t>
            </w:r>
          </w:p>
          <w:tbl>
            <w:tblPr>
              <w:tblStyle w:val="13"/>
              <w:tblW w:w="9138"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00"/>
              <w:gridCol w:w="1304"/>
              <w:gridCol w:w="1027"/>
              <w:gridCol w:w="1511"/>
              <w:gridCol w:w="1373"/>
              <w:gridCol w:w="1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点位名称</w:t>
                  </w:r>
                </w:p>
              </w:tc>
              <w:tc>
                <w:tcPr>
                  <w:tcW w:w="1200"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日期</w:t>
                  </w:r>
                </w:p>
              </w:tc>
              <w:tc>
                <w:tcPr>
                  <w:tcW w:w="1304"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测试名称</w:t>
                  </w:r>
                </w:p>
              </w:tc>
              <w:tc>
                <w:tcPr>
                  <w:tcW w:w="1027"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单位</w:t>
                  </w:r>
                </w:p>
              </w:tc>
              <w:tc>
                <w:tcPr>
                  <w:tcW w:w="1511"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日均值</w:t>
                  </w:r>
                </w:p>
              </w:tc>
              <w:tc>
                <w:tcPr>
                  <w:tcW w:w="1373"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评价值</w:t>
                  </w:r>
                </w:p>
              </w:tc>
              <w:tc>
                <w:tcPr>
                  <w:tcW w:w="1511" w:type="dxa"/>
                  <w:tcBorders>
                    <w:tl2br w:val="nil"/>
                    <w:tr2bl w:val="nil"/>
                  </w:tcBorders>
                  <w:vAlign w:val="center"/>
                </w:tcPr>
                <w:p>
                  <w:pPr>
                    <w:widowControl/>
                    <w:spacing w:line="240" w:lineRule="atLeast"/>
                    <w:jc w:val="center"/>
                    <w:rPr>
                      <w:rFonts w:ascii="宋体" w:hAnsi="宋体" w:cs="宋体"/>
                      <w:b/>
                      <w:bCs/>
                      <w:color w:val="000000" w:themeColor="text1"/>
                      <w:sz w:val="24"/>
                    </w:rPr>
                  </w:pPr>
                  <w:r>
                    <w:rPr>
                      <w:rFonts w:hint="eastAsia" w:ascii="宋体" w:hAnsi="宋体" w:cs="宋体"/>
                      <w:b/>
                      <w:bCs/>
                      <w:color w:val="000000" w:themeColor="text1"/>
                      <w:kern w:val="0"/>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Borders>
                    <w:tl2br w:val="nil"/>
                    <w:tr2bl w:val="nil"/>
                  </w:tcBorders>
                  <w:vAlign w:val="center"/>
                </w:tcPr>
                <w:p>
                  <w:pPr>
                    <w:spacing w:line="360" w:lineRule="auto"/>
                    <w:ind w:left="210" w:hanging="210" w:hangingChars="100"/>
                    <w:rPr>
                      <w:rFonts w:ascii="宋体" w:hAnsi="宋体" w:cs="宋体"/>
                      <w:b/>
                      <w:bCs/>
                      <w:color w:val="000000" w:themeColor="text1"/>
                      <w:sz w:val="24"/>
                    </w:rPr>
                  </w:pPr>
                  <w:r>
                    <w:rPr>
                      <w:rFonts w:hint="eastAsia" w:ascii="宋体" w:hAnsi="宋体" w:cs="宋体"/>
                      <w:color w:val="000000" w:themeColor="text1"/>
                      <w:kern w:val="0"/>
                      <w:szCs w:val="21"/>
                    </w:rPr>
                    <w:t>雨水排口（S2）</w:t>
                  </w:r>
                </w:p>
              </w:tc>
              <w:tc>
                <w:tcPr>
                  <w:tcW w:w="1200" w:type="dxa"/>
                  <w:vMerge w:val="restart"/>
                  <w:tcBorders>
                    <w:tl2br w:val="nil"/>
                    <w:tr2bl w:val="nil"/>
                  </w:tcBorders>
                  <w:vAlign w:val="center"/>
                </w:tcPr>
                <w:p>
                  <w:pPr>
                    <w:jc w:val="center"/>
                    <w:rPr>
                      <w:rFonts w:ascii="宋体" w:hAnsi="宋体" w:cs="宋体"/>
                      <w:b/>
                      <w:bCs/>
                      <w:color w:val="000000" w:themeColor="text1"/>
                      <w:sz w:val="24"/>
                    </w:rPr>
                  </w:pPr>
                  <w:r>
                    <w:rPr>
                      <w:rFonts w:hint="eastAsia" w:ascii="宋体" w:hAnsi="宋体"/>
                      <w:color w:val="000000" w:themeColor="text1"/>
                      <w:kern w:val="0"/>
                      <w:szCs w:val="21"/>
                    </w:rPr>
                    <w:t>10月24日</w:t>
                  </w:r>
                </w:p>
              </w:tc>
              <w:tc>
                <w:tcPr>
                  <w:tcW w:w="1304"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pH</w:t>
                  </w:r>
                </w:p>
              </w:tc>
              <w:tc>
                <w:tcPr>
                  <w:tcW w:w="1027"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无量纲</w:t>
                  </w:r>
                </w:p>
              </w:tc>
              <w:tc>
                <w:tcPr>
                  <w:tcW w:w="15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7.08～7.12</w:t>
                  </w:r>
                </w:p>
              </w:tc>
              <w:tc>
                <w:tcPr>
                  <w:tcW w:w="1373"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6～9</w:t>
                  </w:r>
                </w:p>
              </w:tc>
              <w:tc>
                <w:tcPr>
                  <w:tcW w:w="1511" w:type="dxa"/>
                  <w:tcBorders>
                    <w:tl2br w:val="nil"/>
                    <w:tr2bl w:val="nil"/>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continue"/>
                  <w:tcBorders>
                    <w:tl2br w:val="nil"/>
                    <w:tr2bl w:val="nil"/>
                  </w:tcBorders>
                  <w:vAlign w:val="center"/>
                </w:tcPr>
                <w:p>
                  <w:pPr>
                    <w:spacing w:line="360" w:lineRule="auto"/>
                    <w:rPr>
                      <w:rFonts w:ascii="宋体" w:hAnsi="宋体" w:cs="宋体"/>
                      <w:b/>
                      <w:bCs/>
                      <w:color w:val="000000" w:themeColor="text1"/>
                      <w:sz w:val="24"/>
                    </w:rPr>
                  </w:pPr>
                </w:p>
              </w:tc>
              <w:tc>
                <w:tcPr>
                  <w:tcW w:w="1200" w:type="dxa"/>
                  <w:vMerge w:val="continue"/>
                  <w:tcBorders>
                    <w:tl2br w:val="nil"/>
                    <w:tr2bl w:val="nil"/>
                  </w:tcBorders>
                  <w:vAlign w:val="center"/>
                </w:tcPr>
                <w:p>
                  <w:pPr>
                    <w:spacing w:line="360" w:lineRule="auto"/>
                    <w:rPr>
                      <w:rFonts w:ascii="宋体" w:hAnsi="宋体" w:cs="宋体"/>
                      <w:b/>
                      <w:bCs/>
                      <w:color w:val="000000" w:themeColor="text1"/>
                      <w:sz w:val="24"/>
                    </w:rPr>
                  </w:pPr>
                </w:p>
              </w:tc>
              <w:tc>
                <w:tcPr>
                  <w:tcW w:w="1304"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CODcr</w:t>
                  </w:r>
                </w:p>
              </w:tc>
              <w:tc>
                <w:tcPr>
                  <w:tcW w:w="1027"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mg/L</w:t>
                  </w:r>
                </w:p>
              </w:tc>
              <w:tc>
                <w:tcPr>
                  <w:tcW w:w="15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19</w:t>
                  </w:r>
                </w:p>
              </w:tc>
              <w:tc>
                <w:tcPr>
                  <w:tcW w:w="1373"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500</w:t>
                  </w:r>
                </w:p>
              </w:tc>
              <w:tc>
                <w:tcPr>
                  <w:tcW w:w="1511" w:type="dxa"/>
                  <w:tcBorders>
                    <w:tl2br w:val="nil"/>
                    <w:tr2bl w:val="nil"/>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continue"/>
                  <w:tcBorders>
                    <w:tl2br w:val="nil"/>
                    <w:tr2bl w:val="nil"/>
                  </w:tcBorders>
                  <w:vAlign w:val="center"/>
                </w:tcPr>
                <w:p>
                  <w:pPr>
                    <w:spacing w:line="360" w:lineRule="auto"/>
                    <w:rPr>
                      <w:rFonts w:ascii="宋体" w:hAnsi="宋体" w:cs="宋体"/>
                      <w:b/>
                      <w:bCs/>
                      <w:color w:val="000000" w:themeColor="text1"/>
                      <w:sz w:val="24"/>
                    </w:rPr>
                  </w:pPr>
                </w:p>
              </w:tc>
              <w:tc>
                <w:tcPr>
                  <w:tcW w:w="1200" w:type="dxa"/>
                  <w:vMerge w:val="restart"/>
                  <w:tcBorders>
                    <w:tl2br w:val="nil"/>
                    <w:tr2bl w:val="nil"/>
                  </w:tcBorders>
                  <w:vAlign w:val="center"/>
                </w:tcPr>
                <w:p>
                  <w:pPr>
                    <w:jc w:val="center"/>
                    <w:rPr>
                      <w:rFonts w:ascii="宋体" w:hAnsi="宋体" w:cs="宋体"/>
                      <w:b/>
                      <w:bCs/>
                      <w:color w:val="000000" w:themeColor="text1"/>
                      <w:sz w:val="24"/>
                    </w:rPr>
                  </w:pPr>
                  <w:r>
                    <w:rPr>
                      <w:rFonts w:hint="eastAsia" w:ascii="宋体" w:hAnsi="宋体"/>
                      <w:color w:val="000000" w:themeColor="text1"/>
                      <w:kern w:val="0"/>
                      <w:szCs w:val="21"/>
                    </w:rPr>
                    <w:t>10月25日</w:t>
                  </w:r>
                </w:p>
              </w:tc>
              <w:tc>
                <w:tcPr>
                  <w:tcW w:w="1304"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pH</w:t>
                  </w:r>
                </w:p>
              </w:tc>
              <w:tc>
                <w:tcPr>
                  <w:tcW w:w="1027"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无量纲</w:t>
                  </w:r>
                </w:p>
              </w:tc>
              <w:tc>
                <w:tcPr>
                  <w:tcW w:w="15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6.92～7.04</w:t>
                  </w:r>
                </w:p>
              </w:tc>
              <w:tc>
                <w:tcPr>
                  <w:tcW w:w="1373"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6～9</w:t>
                  </w:r>
                </w:p>
              </w:tc>
              <w:tc>
                <w:tcPr>
                  <w:tcW w:w="1511" w:type="dxa"/>
                  <w:tcBorders>
                    <w:tl2br w:val="nil"/>
                    <w:tr2bl w:val="nil"/>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continue"/>
                  <w:tcBorders>
                    <w:tl2br w:val="nil"/>
                    <w:tr2bl w:val="nil"/>
                  </w:tcBorders>
                  <w:vAlign w:val="center"/>
                </w:tcPr>
                <w:p>
                  <w:pPr>
                    <w:spacing w:line="360" w:lineRule="auto"/>
                    <w:rPr>
                      <w:rFonts w:ascii="宋体" w:hAnsi="宋体" w:cs="宋体"/>
                      <w:b/>
                      <w:bCs/>
                      <w:color w:val="000000" w:themeColor="text1"/>
                      <w:sz w:val="24"/>
                    </w:rPr>
                  </w:pPr>
                </w:p>
              </w:tc>
              <w:tc>
                <w:tcPr>
                  <w:tcW w:w="1200" w:type="dxa"/>
                  <w:vMerge w:val="continue"/>
                  <w:tcBorders>
                    <w:tl2br w:val="nil"/>
                    <w:tr2bl w:val="nil"/>
                  </w:tcBorders>
                  <w:vAlign w:val="center"/>
                </w:tcPr>
                <w:p>
                  <w:pPr>
                    <w:spacing w:line="360" w:lineRule="auto"/>
                    <w:rPr>
                      <w:rFonts w:ascii="宋体" w:hAnsi="宋体" w:cs="宋体"/>
                      <w:b/>
                      <w:bCs/>
                      <w:color w:val="000000" w:themeColor="text1"/>
                      <w:sz w:val="24"/>
                    </w:rPr>
                  </w:pPr>
                </w:p>
              </w:tc>
              <w:tc>
                <w:tcPr>
                  <w:tcW w:w="1304"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CODcr</w:t>
                  </w:r>
                </w:p>
              </w:tc>
              <w:tc>
                <w:tcPr>
                  <w:tcW w:w="1027" w:type="dxa"/>
                  <w:tcBorders>
                    <w:tl2br w:val="nil"/>
                    <w:tr2bl w:val="nil"/>
                  </w:tcBorders>
                  <w:vAlign w:val="center"/>
                </w:tcPr>
                <w:p>
                  <w:pPr>
                    <w:jc w:val="center"/>
                    <w:rPr>
                      <w:rFonts w:ascii="宋体" w:hAnsi="宋体" w:cs="宋体"/>
                      <w:b/>
                      <w:bCs/>
                      <w:color w:val="000000" w:themeColor="text1"/>
                      <w:sz w:val="24"/>
                    </w:rPr>
                  </w:pPr>
                  <w:r>
                    <w:rPr>
                      <w:rFonts w:hint="eastAsia" w:ascii="宋体" w:hAnsi="宋体" w:cs="宋体"/>
                      <w:color w:val="000000" w:themeColor="text1"/>
                      <w:szCs w:val="21"/>
                    </w:rPr>
                    <w:t>mg/L</w:t>
                  </w:r>
                </w:p>
              </w:tc>
              <w:tc>
                <w:tcPr>
                  <w:tcW w:w="15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21</w:t>
                  </w:r>
                </w:p>
              </w:tc>
              <w:tc>
                <w:tcPr>
                  <w:tcW w:w="1373"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500</w:t>
                  </w:r>
                </w:p>
              </w:tc>
              <w:tc>
                <w:tcPr>
                  <w:tcW w:w="1511" w:type="dxa"/>
                  <w:tcBorders>
                    <w:tl2br w:val="nil"/>
                    <w:tr2bl w:val="nil"/>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color w:val="000000" w:themeColor="text1"/>
                      <w:szCs w:val="21"/>
                    </w:rPr>
                    <w:t>达标</w:t>
                  </w:r>
                </w:p>
              </w:tc>
            </w:tr>
          </w:tbl>
          <w:p>
            <w:pPr>
              <w:numPr>
                <w:ilvl w:val="0"/>
                <w:numId w:val="10"/>
              </w:numPr>
              <w:spacing w:line="360" w:lineRule="auto"/>
              <w:rPr>
                <w:rFonts w:ascii="宋体" w:hAnsi="宋体" w:cs="宋体"/>
                <w:b/>
                <w:bCs/>
                <w:color w:val="000000" w:themeColor="text1"/>
                <w:sz w:val="24"/>
              </w:rPr>
            </w:pPr>
            <w:r>
              <w:rPr>
                <w:rFonts w:hint="eastAsia" w:ascii="宋体" w:hAnsi="宋体" w:cs="宋体"/>
                <w:b/>
                <w:bCs/>
                <w:color w:val="000000" w:themeColor="text1"/>
                <w:sz w:val="24"/>
              </w:rPr>
              <w:t>废气监测结果及评价</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（1）无组织废气</w:t>
            </w:r>
          </w:p>
          <w:p>
            <w:pPr>
              <w:spacing w:line="360" w:lineRule="auto"/>
              <w:rPr>
                <w:rFonts w:ascii="黑体" w:hAnsi="黑体" w:eastAsia="黑体" w:cs="黑体"/>
                <w:b/>
                <w:bCs/>
                <w:color w:val="000000" w:themeColor="text1"/>
                <w:sz w:val="24"/>
              </w:rPr>
            </w:pPr>
            <w:r>
              <w:rPr>
                <w:rFonts w:hint="eastAsia" w:ascii="宋体" w:hAnsi="宋体" w:cs="宋体"/>
                <w:color w:val="FF0000"/>
                <w:sz w:val="24"/>
              </w:rPr>
              <w:t xml:space="preserve"> </w:t>
            </w:r>
            <w:r>
              <w:rPr>
                <w:rFonts w:hint="eastAsia" w:ascii="宋体" w:hAnsi="宋体" w:cs="宋体"/>
                <w:color w:val="000000" w:themeColor="text1"/>
                <w:sz w:val="24"/>
              </w:rPr>
              <w:t xml:space="preserve">   2018年10月24日-25日验收监测期间，无组织废气颗粒物小时排放浓度最大值为0.367mg/m</w:t>
            </w:r>
            <w:r>
              <w:rPr>
                <w:rFonts w:hint="eastAsia" w:ascii="宋体" w:hAnsi="宋体" w:cs="宋体"/>
                <w:color w:val="000000" w:themeColor="text1"/>
                <w:sz w:val="24"/>
                <w:vertAlign w:val="superscript"/>
              </w:rPr>
              <w:t>3</w:t>
            </w:r>
            <w:r>
              <w:rPr>
                <w:rFonts w:hint="eastAsia" w:ascii="宋体" w:hAnsi="宋体" w:cs="宋体"/>
                <w:color w:val="000000" w:themeColor="text1"/>
                <w:sz w:val="24"/>
              </w:rPr>
              <w:t>，符合《大气污染物综合排放标准》（GB16297-1996）表2中无组织排放监控浓度限值。无组织废气监测结果见表7-5，验收监测期间气象参数</w:t>
            </w:r>
            <w:r>
              <w:rPr>
                <w:rFonts w:hint="eastAsia" w:ascii="宋体" w:hAnsi="宋体"/>
                <w:color w:val="000000" w:themeColor="text1"/>
                <w:sz w:val="24"/>
              </w:rPr>
              <w:t>见7-4。</w:t>
            </w:r>
          </w:p>
          <w:p>
            <w:pPr>
              <w:jc w:val="center"/>
              <w:rPr>
                <w:rFonts w:ascii="黑体" w:eastAsia="黑体"/>
                <w:color w:val="000000" w:themeColor="text1"/>
                <w:sz w:val="24"/>
              </w:rPr>
            </w:pPr>
            <w:r>
              <w:rPr>
                <w:rFonts w:hint="eastAsia" w:ascii="黑体" w:eastAsia="黑体"/>
                <w:color w:val="000000" w:themeColor="text1"/>
                <w:sz w:val="24"/>
              </w:rPr>
              <w:t>表7-4 验收监测期间气象参数</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915"/>
              <w:gridCol w:w="1649"/>
              <w:gridCol w:w="1398"/>
              <w:gridCol w:w="1031"/>
              <w:gridCol w:w="1245"/>
              <w:gridCol w:w="1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日期</w:t>
                  </w:r>
                </w:p>
              </w:tc>
              <w:tc>
                <w:tcPr>
                  <w:tcW w:w="915"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频次</w:t>
                  </w:r>
                </w:p>
              </w:tc>
              <w:tc>
                <w:tcPr>
                  <w:tcW w:w="1649"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大气压(kpa)</w:t>
                  </w:r>
                </w:p>
              </w:tc>
              <w:tc>
                <w:tcPr>
                  <w:tcW w:w="1398"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风速(m/s)</w:t>
                  </w:r>
                </w:p>
              </w:tc>
              <w:tc>
                <w:tcPr>
                  <w:tcW w:w="1031"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风向</w:t>
                  </w:r>
                </w:p>
              </w:tc>
              <w:tc>
                <w:tcPr>
                  <w:tcW w:w="1245"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气温(℃)</w:t>
                  </w:r>
                </w:p>
              </w:tc>
              <w:tc>
                <w:tcPr>
                  <w:tcW w:w="1026" w:type="dxa"/>
                  <w:tcBorders>
                    <w:tl2br w:val="nil"/>
                    <w:tr2bl w:val="nil"/>
                  </w:tcBorders>
                  <w:vAlign w:val="center"/>
                </w:tcPr>
                <w:p>
                  <w:pPr>
                    <w:widowControl/>
                    <w:spacing w:line="240" w:lineRule="atLeast"/>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天气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restart"/>
                  <w:tcBorders>
                    <w:tl2br w:val="nil"/>
                    <w:tr2bl w:val="nil"/>
                  </w:tcBorders>
                  <w:vAlign w:val="center"/>
                </w:tcPr>
                <w:p>
                  <w:pPr>
                    <w:spacing w:line="360" w:lineRule="auto"/>
                    <w:jc w:val="center"/>
                    <w:rPr>
                      <w:rFonts w:ascii="宋体" w:hAnsi="宋体"/>
                      <w:color w:val="000000" w:themeColor="text1"/>
                    </w:rPr>
                  </w:pPr>
                  <w:r>
                    <w:rPr>
                      <w:rFonts w:hint="eastAsia" w:ascii="宋体" w:hAnsi="宋体" w:cs="宋体"/>
                      <w:caps/>
                      <w:color w:val="000000" w:themeColor="text1"/>
                      <w:szCs w:val="21"/>
                    </w:rPr>
                    <w:t>10月24日</w:t>
                  </w: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第一次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102.1</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3.0</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19.1</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第二次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102.1</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3.0</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19.9</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第三次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102.1</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3.1</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23.5</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第四次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101.9</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3.0</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23.1</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restart"/>
                  <w:tcBorders>
                    <w:tl2br w:val="nil"/>
                    <w:tr2bl w:val="nil"/>
                  </w:tcBorders>
                  <w:vAlign w:val="center"/>
                </w:tcPr>
                <w:p>
                  <w:pPr>
                    <w:spacing w:line="360" w:lineRule="auto"/>
                    <w:jc w:val="center"/>
                    <w:rPr>
                      <w:rFonts w:ascii="宋体" w:hAnsi="宋体"/>
                      <w:color w:val="000000" w:themeColor="text1"/>
                    </w:rPr>
                  </w:pPr>
                  <w:r>
                    <w:rPr>
                      <w:rFonts w:hint="eastAsia" w:ascii="宋体" w:hAnsi="宋体" w:cs="宋体"/>
                      <w:caps/>
                      <w:color w:val="000000" w:themeColor="text1"/>
                      <w:szCs w:val="21"/>
                    </w:rPr>
                    <w:t>10月25日</w:t>
                  </w: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第一次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102.2</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2.5</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18.3</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第二次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102.2</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2.6</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18.7</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第三次</w:t>
                  </w:r>
                </w:p>
              </w:tc>
              <w:tc>
                <w:tcPr>
                  <w:tcW w:w="1649"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102.2</w:t>
                  </w:r>
                </w:p>
              </w:tc>
              <w:tc>
                <w:tcPr>
                  <w:tcW w:w="1398"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2.6</w:t>
                  </w:r>
                </w:p>
              </w:tc>
              <w:tc>
                <w:tcPr>
                  <w:tcW w:w="1031"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东风</w:t>
                  </w:r>
                </w:p>
              </w:tc>
              <w:tc>
                <w:tcPr>
                  <w:tcW w:w="124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19.8</w:t>
                  </w:r>
                </w:p>
              </w:tc>
              <w:tc>
                <w:tcPr>
                  <w:tcW w:w="1026"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7" w:type="dxa"/>
                  <w:vMerge w:val="continue"/>
                  <w:tcBorders>
                    <w:tl2br w:val="nil"/>
                    <w:tr2bl w:val="nil"/>
                  </w:tcBorders>
                  <w:vAlign w:val="center"/>
                </w:tcPr>
                <w:p>
                  <w:pPr>
                    <w:jc w:val="center"/>
                    <w:rPr>
                      <w:rFonts w:ascii="宋体" w:hAnsi="宋体"/>
                      <w:color w:val="000000" w:themeColor="text1"/>
                    </w:rPr>
                  </w:pPr>
                </w:p>
              </w:tc>
              <w:tc>
                <w:tcPr>
                  <w:tcW w:w="915" w:type="dxa"/>
                  <w:tcBorders>
                    <w:tl2br w:val="nil"/>
                    <w:tr2bl w:val="nil"/>
                  </w:tcBorders>
                  <w:vAlign w:val="center"/>
                </w:tcPr>
                <w:p>
                  <w:pPr>
                    <w:jc w:val="center"/>
                    <w:rPr>
                      <w:rFonts w:ascii="宋体" w:hAnsi="宋体"/>
                      <w:color w:val="000000" w:themeColor="text1"/>
                    </w:rPr>
                  </w:pPr>
                  <w:r>
                    <w:rPr>
                      <w:rFonts w:hint="eastAsia" w:ascii="宋体" w:hAnsi="宋体" w:cs="宋体"/>
                      <w:caps/>
                      <w:color w:val="000000" w:themeColor="text1"/>
                      <w:szCs w:val="21"/>
                    </w:rPr>
                    <w:t>第四次</w:t>
                  </w:r>
                </w:p>
              </w:tc>
              <w:tc>
                <w:tcPr>
                  <w:tcW w:w="1649" w:type="dxa"/>
                  <w:tcBorders>
                    <w:tl2br w:val="nil"/>
                    <w:tr2bl w:val="nil"/>
                  </w:tcBorders>
                  <w:vAlign w:val="center"/>
                </w:tcPr>
                <w:p>
                  <w:pPr>
                    <w:jc w:val="center"/>
                    <w:rPr>
                      <w:rFonts w:ascii="宋体" w:hAnsi="宋体"/>
                      <w:color w:val="FF0000"/>
                    </w:rPr>
                  </w:pPr>
                  <w:r>
                    <w:rPr>
                      <w:rFonts w:hint="eastAsia" w:ascii="宋体" w:hAnsi="宋体" w:cs="宋体"/>
                      <w:caps/>
                      <w:color w:val="000000"/>
                      <w:szCs w:val="21"/>
                    </w:rPr>
                    <w:t>102.2</w:t>
                  </w:r>
                </w:p>
              </w:tc>
              <w:tc>
                <w:tcPr>
                  <w:tcW w:w="1398" w:type="dxa"/>
                  <w:tcBorders>
                    <w:tl2br w:val="nil"/>
                    <w:tr2bl w:val="nil"/>
                  </w:tcBorders>
                  <w:vAlign w:val="center"/>
                </w:tcPr>
                <w:p>
                  <w:pPr>
                    <w:jc w:val="center"/>
                    <w:rPr>
                      <w:rFonts w:ascii="宋体" w:hAnsi="宋体"/>
                      <w:color w:val="FF0000"/>
                    </w:rPr>
                  </w:pPr>
                  <w:r>
                    <w:rPr>
                      <w:rFonts w:hint="eastAsia" w:ascii="宋体" w:hAnsi="宋体" w:cs="宋体"/>
                      <w:caps/>
                      <w:color w:val="000000"/>
                      <w:szCs w:val="21"/>
                    </w:rPr>
                    <w:t>2.5</w:t>
                  </w:r>
                </w:p>
              </w:tc>
              <w:tc>
                <w:tcPr>
                  <w:tcW w:w="1031" w:type="dxa"/>
                  <w:tcBorders>
                    <w:tl2br w:val="nil"/>
                    <w:tr2bl w:val="nil"/>
                  </w:tcBorders>
                  <w:vAlign w:val="center"/>
                </w:tcPr>
                <w:p>
                  <w:pPr>
                    <w:jc w:val="center"/>
                    <w:rPr>
                      <w:rFonts w:ascii="宋体" w:hAnsi="宋体"/>
                      <w:color w:val="FF0000"/>
                    </w:rPr>
                  </w:pPr>
                  <w:r>
                    <w:rPr>
                      <w:rFonts w:hint="eastAsia" w:ascii="宋体" w:hAnsi="宋体" w:cs="宋体"/>
                      <w:caps/>
                      <w:color w:val="000000"/>
                      <w:szCs w:val="21"/>
                    </w:rPr>
                    <w:t>东风</w:t>
                  </w:r>
                </w:p>
              </w:tc>
              <w:tc>
                <w:tcPr>
                  <w:tcW w:w="1245" w:type="dxa"/>
                  <w:tcBorders>
                    <w:tl2br w:val="nil"/>
                    <w:tr2bl w:val="nil"/>
                  </w:tcBorders>
                  <w:vAlign w:val="center"/>
                </w:tcPr>
                <w:p>
                  <w:pPr>
                    <w:jc w:val="center"/>
                    <w:rPr>
                      <w:rFonts w:ascii="宋体" w:hAnsi="宋体"/>
                      <w:color w:val="FF0000"/>
                    </w:rPr>
                  </w:pPr>
                  <w:r>
                    <w:rPr>
                      <w:rFonts w:hint="eastAsia" w:ascii="宋体" w:hAnsi="宋体" w:cs="宋体"/>
                      <w:caps/>
                      <w:color w:val="000000"/>
                      <w:szCs w:val="21"/>
                    </w:rPr>
                    <w:t>19.7</w:t>
                  </w:r>
                </w:p>
              </w:tc>
              <w:tc>
                <w:tcPr>
                  <w:tcW w:w="1026" w:type="dxa"/>
                  <w:tcBorders>
                    <w:tl2br w:val="nil"/>
                    <w:tr2bl w:val="nil"/>
                  </w:tcBorders>
                  <w:vAlign w:val="center"/>
                </w:tcPr>
                <w:p>
                  <w:pPr>
                    <w:jc w:val="center"/>
                    <w:rPr>
                      <w:rFonts w:ascii="宋体" w:hAnsi="宋体"/>
                      <w:color w:val="FF0000"/>
                    </w:rPr>
                  </w:pPr>
                  <w:r>
                    <w:rPr>
                      <w:rFonts w:hint="eastAsia" w:ascii="宋体" w:hAnsi="宋体" w:cs="宋体"/>
                      <w:caps/>
                      <w:color w:val="000000"/>
                      <w:szCs w:val="21"/>
                    </w:rPr>
                    <w:t>阴</w:t>
                  </w:r>
                </w:p>
              </w:tc>
            </w:tr>
          </w:tbl>
          <w:p>
            <w:pPr>
              <w:jc w:val="center"/>
              <w:rPr>
                <w:color w:val="FF0000"/>
              </w:rPr>
            </w:pPr>
          </w:p>
          <w:p>
            <w:pPr>
              <w:jc w:val="center"/>
              <w:rPr>
                <w:color w:val="FF0000"/>
                <w:sz w:val="24"/>
              </w:rPr>
            </w:pPr>
            <w:r>
              <w:rPr>
                <w:color w:val="FF0000"/>
                <w:sz w:val="24"/>
              </w:rPr>
              <w:drawing>
                <wp:inline distT="0" distB="0" distL="114300" distR="114300">
                  <wp:extent cx="5672455" cy="3115945"/>
                  <wp:effectExtent l="0" t="0" r="444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rcRect r="246" b="7850"/>
                          <a:stretch>
                            <a:fillRect/>
                          </a:stretch>
                        </pic:blipFill>
                        <pic:spPr>
                          <a:xfrm>
                            <a:off x="0" y="0"/>
                            <a:ext cx="5672455" cy="3115945"/>
                          </a:xfrm>
                          <a:prstGeom prst="rect">
                            <a:avLst/>
                          </a:prstGeom>
                          <a:noFill/>
                          <a:ln w="9525">
                            <a:noFill/>
                          </a:ln>
                        </pic:spPr>
                      </pic:pic>
                    </a:graphicData>
                  </a:graphic>
                </wp:inline>
              </w:drawing>
            </w:r>
          </w:p>
          <w:p>
            <w:pPr>
              <w:spacing w:line="500" w:lineRule="exact"/>
              <w:ind w:firstLine="560"/>
              <w:jc w:val="center"/>
              <w:rPr>
                <w:rFonts w:ascii="黑体" w:eastAsia="黑体"/>
                <w:color w:val="000000" w:themeColor="text1"/>
                <w:sz w:val="24"/>
              </w:rPr>
            </w:pPr>
            <w:r>
              <w:rPr>
                <w:rFonts w:hint="eastAsia" w:ascii="仿宋" w:hAnsi="仿宋" w:eastAsia="仿宋" w:cs="仿宋"/>
                <w:b/>
                <w:bCs/>
                <w:color w:val="000000" w:themeColor="text1"/>
                <w:sz w:val="24"/>
              </w:rPr>
              <w:t>○表示无组织检测点</w:t>
            </w:r>
          </w:p>
          <w:p>
            <w:pPr>
              <w:jc w:val="center"/>
              <w:rPr>
                <w:rFonts w:ascii="宋体" w:hAnsi="宋体"/>
                <w:color w:val="FF0000"/>
                <w:szCs w:val="21"/>
              </w:rPr>
            </w:pPr>
            <w:r>
              <w:rPr>
                <w:rFonts w:hint="eastAsia" w:ascii="黑体" w:eastAsia="黑体"/>
                <w:color w:val="000000" w:themeColor="text1"/>
                <w:sz w:val="24"/>
              </w:rPr>
              <w:t>图7-1  10月24-25日无组织监测点位示意图</w:t>
            </w:r>
          </w:p>
        </w:tc>
      </w:tr>
    </w:tbl>
    <w:p>
      <w:pPr>
        <w:rPr>
          <w:b/>
          <w:color w:val="000000" w:themeColor="text1"/>
          <w:sz w:val="28"/>
          <w:szCs w:val="28"/>
        </w:rPr>
      </w:pPr>
      <w:bookmarkStart w:id="163" w:name="_Toc32135"/>
      <w:bookmarkStart w:id="164" w:name="_Toc1791"/>
      <w:bookmarkStart w:id="165" w:name="_Toc12618"/>
      <w:bookmarkStart w:id="166" w:name="_Toc28901"/>
      <w:bookmarkStart w:id="167" w:name="_Toc14477"/>
      <w:bookmarkStart w:id="168" w:name="_Toc2871"/>
      <w:bookmarkStart w:id="169" w:name="_Toc3583"/>
      <w:bookmarkStart w:id="170" w:name="_Toc5853"/>
      <w:bookmarkStart w:id="171" w:name="_Toc7758"/>
      <w:bookmarkStart w:id="172" w:name="_Toc11892"/>
      <w:bookmarkStart w:id="173" w:name="_Toc5456_WPSOffice_Level1"/>
      <w:bookmarkStart w:id="174" w:name="_Toc7725"/>
      <w:r>
        <w:rPr>
          <w:rFonts w:hint="eastAsia"/>
          <w:b/>
          <w:color w:val="000000" w:themeColor="text1"/>
          <w:sz w:val="28"/>
          <w:szCs w:val="28"/>
        </w:rPr>
        <w:t>续表</w:t>
      </w:r>
      <w:bookmarkEnd w:id="163"/>
      <w:bookmarkEnd w:id="164"/>
      <w:bookmarkEnd w:id="165"/>
      <w:bookmarkEnd w:id="166"/>
      <w:bookmarkEnd w:id="167"/>
      <w:bookmarkEnd w:id="168"/>
      <w:bookmarkEnd w:id="169"/>
      <w:r>
        <w:rPr>
          <w:rFonts w:hint="eastAsia"/>
          <w:b/>
          <w:color w:val="000000" w:themeColor="text1"/>
          <w:sz w:val="28"/>
          <w:szCs w:val="28"/>
        </w:rPr>
        <w:t>七</w:t>
      </w:r>
      <w:bookmarkEnd w:id="170"/>
      <w:bookmarkEnd w:id="171"/>
      <w:bookmarkEnd w:id="172"/>
      <w:bookmarkEnd w:id="173"/>
      <w:bookmarkEnd w:id="174"/>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606" w:hRule="atLeast"/>
          <w:jc w:val="center"/>
        </w:trPr>
        <w:tc>
          <w:tcPr>
            <w:tcW w:w="9354" w:type="dxa"/>
            <w:tcBorders>
              <w:top w:val="single" w:color="auto" w:sz="4" w:space="0"/>
            </w:tcBorders>
          </w:tcPr>
          <w:p>
            <w:pPr>
              <w:jc w:val="center"/>
              <w:rPr>
                <w:rFonts w:ascii="黑体" w:eastAsia="黑体"/>
                <w:color w:val="000000" w:themeColor="text1"/>
                <w:sz w:val="24"/>
              </w:rPr>
            </w:pPr>
            <w:r>
              <w:rPr>
                <w:rFonts w:hint="eastAsia" w:ascii="黑体" w:eastAsia="黑体"/>
                <w:color w:val="000000" w:themeColor="text1"/>
                <w:sz w:val="24"/>
              </w:rPr>
              <w:t>表7-5 无组织废气颗粒物监测结果及评价</w:t>
            </w:r>
            <w:bookmarkStart w:id="175" w:name="OLE_LINK22"/>
          </w:p>
          <w:bookmarkEnd w:id="175"/>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09"/>
              <w:gridCol w:w="1344"/>
              <w:gridCol w:w="1343"/>
              <w:gridCol w:w="1260"/>
              <w:gridCol w:w="1371"/>
              <w:gridCol w:w="1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restart"/>
                  <w:tcBorders>
                    <w:tl2br w:val="nil"/>
                    <w:tr2bl w:val="nil"/>
                  </w:tcBorders>
                  <w:vAlign w:val="center"/>
                </w:tcPr>
                <w:p>
                  <w:pPr>
                    <w:adjustRightInd w:val="0"/>
                    <w:snapToGrid w:val="0"/>
                    <w:rPr>
                      <w:b/>
                      <w:bCs/>
                      <w:color w:val="000000" w:themeColor="text1"/>
                      <w:szCs w:val="21"/>
                    </w:rPr>
                  </w:pPr>
                  <w:r>
                    <w:rPr>
                      <w:rFonts w:hint="eastAsia"/>
                      <w:b/>
                      <w:bCs/>
                      <w:color w:val="000000" w:themeColor="text1"/>
                      <w:szCs w:val="21"/>
                    </w:rPr>
                    <w:t xml:space="preserve">  项目</w:t>
                  </w:r>
                </w:p>
              </w:tc>
              <w:tc>
                <w:tcPr>
                  <w:tcW w:w="2353" w:type="dxa"/>
                  <w:gridSpan w:val="2"/>
                  <w:vMerge w:val="restart"/>
                  <w:tcBorders>
                    <w:tl2br w:val="nil"/>
                    <w:tr2bl w:val="nil"/>
                  </w:tcBorders>
                  <w:vAlign w:val="center"/>
                </w:tcPr>
                <w:p>
                  <w:pPr>
                    <w:adjustRightInd w:val="0"/>
                    <w:snapToGrid w:val="0"/>
                    <w:rPr>
                      <w:b/>
                      <w:bCs/>
                      <w:color w:val="000000" w:themeColor="text1"/>
                      <w:szCs w:val="21"/>
                    </w:rPr>
                  </w:pPr>
                  <w:r>
                    <w:rPr>
                      <w:rFonts w:hint="eastAsia"/>
                      <w:b/>
                      <w:bCs/>
                      <w:color w:val="000000" w:themeColor="text1"/>
                      <w:szCs w:val="21"/>
                    </w:rPr>
                    <w:t xml:space="preserve">   监测日期</w:t>
                  </w:r>
                </w:p>
              </w:tc>
              <w:tc>
                <w:tcPr>
                  <w:tcW w:w="5417" w:type="dxa"/>
                  <w:gridSpan w:val="4"/>
                  <w:tcBorders>
                    <w:tl2br w:val="nil"/>
                    <w:tr2bl w:val="nil"/>
                  </w:tcBorders>
                  <w:vAlign w:val="center"/>
                </w:tcPr>
                <w:p>
                  <w:pPr>
                    <w:jc w:val="center"/>
                    <w:rPr>
                      <w:b/>
                      <w:bCs/>
                      <w:color w:val="000000" w:themeColor="text1"/>
                      <w:szCs w:val="21"/>
                    </w:rPr>
                  </w:pPr>
                  <w:r>
                    <w:rPr>
                      <w:rFonts w:hint="eastAsia"/>
                      <w:b/>
                      <w:bCs/>
                      <w:color w:val="000000" w:themeColor="text1"/>
                      <w:szCs w:val="21"/>
                    </w:rPr>
                    <w:t>监测结果</w:t>
                  </w:r>
                  <w:r>
                    <w:rPr>
                      <w:rFonts w:hint="eastAsia" w:ascii="黑体" w:eastAsia="黑体"/>
                      <w:b/>
                      <w:bCs/>
                      <w:color w:val="000000" w:themeColor="text1"/>
                      <w:sz w:val="24"/>
                    </w:rPr>
                    <w:t xml:space="preserve">  </w:t>
                  </w:r>
                  <w:r>
                    <w:rPr>
                      <w:rFonts w:hAnsi="宋体"/>
                      <w:b/>
                      <w:bCs/>
                      <w:color w:val="000000" w:themeColor="text1"/>
                      <w:szCs w:val="21"/>
                    </w:rPr>
                    <w:t>单位</w:t>
                  </w:r>
                  <w:r>
                    <w:rPr>
                      <w:rFonts w:hint="eastAsia"/>
                      <w:b/>
                      <w:bCs/>
                      <w:color w:val="000000" w:themeColor="text1"/>
                      <w:szCs w:val="21"/>
                    </w:rPr>
                    <w:t>：</w:t>
                  </w:r>
                  <w:r>
                    <w:rPr>
                      <w:b/>
                      <w:bCs/>
                      <w:color w:val="000000" w:themeColor="text1"/>
                      <w:szCs w:val="21"/>
                    </w:rPr>
                    <w:t>mg/m</w:t>
                  </w:r>
                  <w:r>
                    <w:rPr>
                      <w:b/>
                      <w:bCs/>
                      <w:color w:val="000000" w:themeColor="text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szCs w:val="21"/>
                    </w:rPr>
                  </w:pPr>
                  <w:bookmarkStart w:id="176" w:name="OLE_LINK29" w:colFirst="2" w:colLast="5"/>
                </w:p>
              </w:tc>
              <w:tc>
                <w:tcPr>
                  <w:tcW w:w="2353" w:type="dxa"/>
                  <w:gridSpan w:val="2"/>
                  <w:vMerge w:val="continue"/>
                  <w:tcBorders>
                    <w:tl2br w:val="nil"/>
                    <w:tr2bl w:val="nil"/>
                  </w:tcBorders>
                  <w:vAlign w:val="center"/>
                </w:tcPr>
                <w:p>
                  <w:pPr>
                    <w:adjustRightInd w:val="0"/>
                    <w:snapToGrid w:val="0"/>
                    <w:jc w:val="center"/>
                    <w:rPr>
                      <w:color w:val="000000" w:themeColor="text1"/>
                      <w:szCs w:val="21"/>
                    </w:rPr>
                  </w:pPr>
                </w:p>
              </w:tc>
              <w:tc>
                <w:tcPr>
                  <w:tcW w:w="1343" w:type="dxa"/>
                  <w:tcBorders>
                    <w:tl2br w:val="nil"/>
                    <w:tr2bl w:val="nil"/>
                  </w:tcBorders>
                  <w:vAlign w:val="center"/>
                </w:tcPr>
                <w:p>
                  <w:pPr>
                    <w:adjustRightInd w:val="0"/>
                    <w:snapToGrid w:val="0"/>
                    <w:jc w:val="center"/>
                    <w:rPr>
                      <w:b/>
                      <w:bCs/>
                      <w:color w:val="000000" w:themeColor="text1"/>
                      <w:szCs w:val="21"/>
                    </w:rPr>
                  </w:pPr>
                  <w:r>
                    <w:rPr>
                      <w:rFonts w:hint="eastAsia"/>
                      <w:b/>
                      <w:bCs/>
                      <w:color w:val="000000" w:themeColor="text1"/>
                      <w:szCs w:val="21"/>
                    </w:rPr>
                    <w:t>下风向Q3</w:t>
                  </w:r>
                </w:p>
              </w:tc>
              <w:tc>
                <w:tcPr>
                  <w:tcW w:w="1260" w:type="dxa"/>
                  <w:tcBorders>
                    <w:tl2br w:val="nil"/>
                    <w:tr2bl w:val="nil"/>
                  </w:tcBorders>
                  <w:vAlign w:val="center"/>
                </w:tcPr>
                <w:p>
                  <w:pPr>
                    <w:adjustRightInd w:val="0"/>
                    <w:snapToGrid w:val="0"/>
                    <w:jc w:val="center"/>
                    <w:rPr>
                      <w:b/>
                      <w:bCs/>
                      <w:color w:val="000000" w:themeColor="text1"/>
                      <w:szCs w:val="21"/>
                    </w:rPr>
                  </w:pPr>
                  <w:r>
                    <w:rPr>
                      <w:rFonts w:hint="eastAsia"/>
                      <w:b/>
                      <w:bCs/>
                      <w:color w:val="000000" w:themeColor="text1"/>
                      <w:szCs w:val="21"/>
                    </w:rPr>
                    <w:t>下风向Q4</w:t>
                  </w:r>
                </w:p>
              </w:tc>
              <w:tc>
                <w:tcPr>
                  <w:tcW w:w="1371" w:type="dxa"/>
                  <w:tcBorders>
                    <w:tl2br w:val="nil"/>
                    <w:tr2bl w:val="nil"/>
                  </w:tcBorders>
                  <w:vAlign w:val="center"/>
                </w:tcPr>
                <w:p>
                  <w:pPr>
                    <w:adjustRightInd w:val="0"/>
                    <w:snapToGrid w:val="0"/>
                    <w:jc w:val="center"/>
                    <w:rPr>
                      <w:b/>
                      <w:bCs/>
                      <w:color w:val="000000" w:themeColor="text1"/>
                      <w:szCs w:val="21"/>
                    </w:rPr>
                  </w:pPr>
                  <w:r>
                    <w:rPr>
                      <w:rFonts w:hint="eastAsia"/>
                      <w:b/>
                      <w:bCs/>
                      <w:color w:val="000000" w:themeColor="text1"/>
                      <w:szCs w:val="21"/>
                    </w:rPr>
                    <w:t>下风向Q5</w:t>
                  </w:r>
                </w:p>
              </w:tc>
              <w:tc>
                <w:tcPr>
                  <w:tcW w:w="1443" w:type="dxa"/>
                  <w:tcBorders>
                    <w:tl2br w:val="nil"/>
                    <w:tr2bl w:val="nil"/>
                  </w:tcBorders>
                  <w:vAlign w:val="center"/>
                </w:tcPr>
                <w:p>
                  <w:pPr>
                    <w:adjustRightInd w:val="0"/>
                    <w:snapToGrid w:val="0"/>
                    <w:jc w:val="center"/>
                    <w:rPr>
                      <w:b/>
                      <w:bCs/>
                      <w:color w:val="000000" w:themeColor="text1"/>
                      <w:szCs w:val="21"/>
                    </w:rPr>
                  </w:pPr>
                  <w:r>
                    <w:rPr>
                      <w:rFonts w:hint="eastAsia"/>
                      <w:b/>
                      <w:bCs/>
                      <w:color w:val="000000" w:themeColor="text1"/>
                      <w:szCs w:val="21"/>
                    </w:rPr>
                    <w:t>上风向Q2</w:t>
                  </w:r>
                </w:p>
              </w:tc>
            </w:tr>
            <w:bookmarkEnd w:id="17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restar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总悬浮</w:t>
                  </w:r>
                </w:p>
                <w:p>
                  <w:pPr>
                    <w:adjustRightInd w:val="0"/>
                    <w:snapToGrid w:val="0"/>
                    <w:jc w:val="center"/>
                    <w:rPr>
                      <w:bCs/>
                      <w:color w:val="000000" w:themeColor="text1"/>
                      <w:szCs w:val="21"/>
                    </w:rPr>
                  </w:pPr>
                  <w:r>
                    <w:rPr>
                      <w:rFonts w:hint="eastAsia"/>
                      <w:bCs/>
                      <w:color w:val="000000" w:themeColor="text1"/>
                      <w:szCs w:val="21"/>
                    </w:rPr>
                    <w:t>颗粒物</w:t>
                  </w:r>
                </w:p>
              </w:tc>
              <w:tc>
                <w:tcPr>
                  <w:tcW w:w="1009" w:type="dxa"/>
                  <w:vMerge w:val="restart"/>
                  <w:tcBorders>
                    <w:tl2br w:val="nil"/>
                    <w:tr2bl w:val="nil"/>
                  </w:tcBorders>
                  <w:vAlign w:val="center"/>
                </w:tcPr>
                <w:p>
                  <w:pPr>
                    <w:jc w:val="center"/>
                    <w:rPr>
                      <w:rFonts w:ascii="宋体" w:hAnsi="宋体"/>
                      <w:color w:val="000000" w:themeColor="text1"/>
                      <w:kern w:val="0"/>
                      <w:szCs w:val="21"/>
                    </w:rPr>
                  </w:pPr>
                  <w:r>
                    <w:rPr>
                      <w:rFonts w:hint="eastAsia" w:ascii="宋体" w:hAnsi="宋体"/>
                      <w:color w:val="000000" w:themeColor="text1"/>
                      <w:kern w:val="0"/>
                      <w:szCs w:val="21"/>
                    </w:rPr>
                    <w:t>10月</w:t>
                  </w:r>
                </w:p>
                <w:p>
                  <w:pPr>
                    <w:jc w:val="center"/>
                    <w:rPr>
                      <w:rFonts w:ascii="宋体" w:hAnsi="宋体" w:cs="宋体"/>
                      <w:color w:val="000000" w:themeColor="text1"/>
                      <w:szCs w:val="21"/>
                    </w:rPr>
                  </w:pPr>
                  <w:r>
                    <w:rPr>
                      <w:rFonts w:hint="eastAsia" w:ascii="宋体" w:hAnsi="宋体"/>
                      <w:color w:val="000000" w:themeColor="text1"/>
                      <w:kern w:val="0"/>
                      <w:szCs w:val="21"/>
                    </w:rPr>
                    <w:t>24日</w:t>
                  </w: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第一次</w:t>
                  </w:r>
                </w:p>
              </w:tc>
              <w:tc>
                <w:tcPr>
                  <w:tcW w:w="13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0.300</w:t>
                  </w:r>
                </w:p>
              </w:tc>
              <w:tc>
                <w:tcPr>
                  <w:tcW w:w="126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0.333</w:t>
                  </w:r>
                </w:p>
              </w:tc>
              <w:tc>
                <w:tcPr>
                  <w:tcW w:w="137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0.317</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rPr>
                  </w:pPr>
                </w:p>
              </w:tc>
              <w:tc>
                <w:tcPr>
                  <w:tcW w:w="1009" w:type="dxa"/>
                  <w:vMerge w:val="continue"/>
                  <w:tcBorders>
                    <w:tl2br w:val="nil"/>
                    <w:tr2bl w:val="nil"/>
                  </w:tcBorders>
                  <w:vAlign w:val="center"/>
                </w:tcPr>
                <w:p>
                  <w:pPr>
                    <w:adjustRightInd w:val="0"/>
                    <w:snapToGrid w:val="0"/>
                    <w:jc w:val="center"/>
                    <w:rPr>
                      <w:color w:val="000000" w:themeColor="text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第二次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0.317</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0.333</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0.333</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009"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第三次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0.300</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0.350</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0.333</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009"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第四次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0.317</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0.367</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0.350</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bCs/>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kern w:val="0"/>
                      <w:szCs w:val="21"/>
                    </w:rPr>
                    <w:t>浓度最大值</w:t>
                  </w:r>
                </w:p>
              </w:tc>
              <w:tc>
                <w:tcPr>
                  <w:tcW w:w="3974"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0.350</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bCs/>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评价标准</w:t>
                  </w:r>
                </w:p>
              </w:tc>
              <w:tc>
                <w:tcPr>
                  <w:tcW w:w="3974"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1.0</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bCs/>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达标情况</w:t>
                  </w:r>
                </w:p>
              </w:tc>
              <w:tc>
                <w:tcPr>
                  <w:tcW w:w="3974"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达标</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bCs/>
                      <w:color w:val="000000" w:themeColor="text1"/>
                      <w:szCs w:val="21"/>
                    </w:rPr>
                  </w:pPr>
                </w:p>
              </w:tc>
              <w:tc>
                <w:tcPr>
                  <w:tcW w:w="1009" w:type="dxa"/>
                  <w:vMerge w:val="restart"/>
                  <w:tcBorders>
                    <w:tl2br w:val="nil"/>
                    <w:tr2bl w:val="nil"/>
                  </w:tcBorders>
                  <w:vAlign w:val="center"/>
                </w:tcPr>
                <w:p>
                  <w:pPr>
                    <w:jc w:val="center"/>
                    <w:rPr>
                      <w:rFonts w:ascii="宋体" w:hAnsi="宋体"/>
                      <w:color w:val="000000" w:themeColor="text1"/>
                      <w:kern w:val="0"/>
                      <w:szCs w:val="21"/>
                    </w:rPr>
                  </w:pPr>
                  <w:r>
                    <w:rPr>
                      <w:rFonts w:hint="eastAsia" w:ascii="宋体" w:hAnsi="宋体"/>
                      <w:color w:val="000000" w:themeColor="text1"/>
                      <w:kern w:val="0"/>
                      <w:szCs w:val="21"/>
                    </w:rPr>
                    <w:t>10月</w:t>
                  </w:r>
                </w:p>
                <w:p>
                  <w:pPr>
                    <w:jc w:val="center"/>
                    <w:rPr>
                      <w:rFonts w:ascii="宋体" w:hAnsi="宋体" w:cs="宋体"/>
                      <w:color w:val="000000" w:themeColor="text1"/>
                      <w:szCs w:val="21"/>
                    </w:rPr>
                  </w:pPr>
                  <w:r>
                    <w:rPr>
                      <w:rFonts w:hint="eastAsia" w:ascii="宋体" w:hAnsi="宋体"/>
                      <w:color w:val="000000" w:themeColor="text1"/>
                      <w:kern w:val="0"/>
                      <w:szCs w:val="21"/>
                    </w:rPr>
                    <w:t>25日</w:t>
                  </w: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第一次</w:t>
                  </w:r>
                </w:p>
              </w:tc>
              <w:tc>
                <w:tcPr>
                  <w:tcW w:w="13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0.283</w:t>
                  </w:r>
                </w:p>
              </w:tc>
              <w:tc>
                <w:tcPr>
                  <w:tcW w:w="1260"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0.317</w:t>
                  </w:r>
                </w:p>
              </w:tc>
              <w:tc>
                <w:tcPr>
                  <w:tcW w:w="1371"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0.317</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rPr>
                  </w:pPr>
                </w:p>
              </w:tc>
              <w:tc>
                <w:tcPr>
                  <w:tcW w:w="1009" w:type="dxa"/>
                  <w:vMerge w:val="continue"/>
                  <w:tcBorders>
                    <w:tl2br w:val="nil"/>
                    <w:tr2bl w:val="nil"/>
                  </w:tcBorders>
                  <w:vAlign w:val="center"/>
                </w:tcPr>
                <w:p>
                  <w:pPr>
                    <w:adjustRightInd w:val="0"/>
                    <w:snapToGrid w:val="0"/>
                    <w:jc w:val="center"/>
                    <w:rPr>
                      <w:color w:val="000000" w:themeColor="text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第二次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0.317</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0.367</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0.350</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009"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第三次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0.333</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0.350</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0.367</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009" w:type="dxa"/>
                  <w:vMerge w:val="continue"/>
                  <w:tcBorders>
                    <w:tl2br w:val="nil"/>
                    <w:tr2bl w:val="nil"/>
                  </w:tcBorders>
                  <w:vAlign w:val="center"/>
                </w:tcPr>
                <w:p>
                  <w:pPr>
                    <w:adjustRightInd w:val="0"/>
                    <w:snapToGrid w:val="0"/>
                    <w:jc w:val="center"/>
                    <w:rPr>
                      <w:rFonts w:ascii="宋体" w:hAnsi="宋体" w:cs="宋体"/>
                      <w:color w:val="000000" w:themeColor="text1"/>
                      <w:szCs w:val="21"/>
                    </w:rPr>
                  </w:pPr>
                </w:p>
              </w:tc>
              <w:tc>
                <w:tcPr>
                  <w:tcW w:w="1344"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第四次</w:t>
                  </w:r>
                </w:p>
              </w:tc>
              <w:tc>
                <w:tcPr>
                  <w:tcW w:w="13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0.300</w:t>
                  </w:r>
                </w:p>
              </w:tc>
              <w:tc>
                <w:tcPr>
                  <w:tcW w:w="1260"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0.333</w:t>
                  </w:r>
                </w:p>
              </w:tc>
              <w:tc>
                <w:tcPr>
                  <w:tcW w:w="1371"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0.317</w:t>
                  </w:r>
                </w:p>
              </w:tc>
              <w:tc>
                <w:tcPr>
                  <w:tcW w:w="1443" w:type="dxa"/>
                  <w:tcBorders>
                    <w:tl2br w:val="nil"/>
                    <w:tr2bl w:val="nil"/>
                  </w:tcBorders>
                  <w:vAlign w:val="center"/>
                </w:tcPr>
                <w:p>
                  <w:pPr>
                    <w:jc w:val="center"/>
                    <w:rPr>
                      <w:rFonts w:ascii="宋体" w:hAnsi="宋体" w:cs="宋体"/>
                      <w:color w:val="000000" w:themeColor="text1"/>
                      <w:szCs w:val="21"/>
                    </w:rPr>
                  </w:pPr>
                  <w:r>
                    <w:rPr>
                      <w:rFonts w:hint="eastAsia" w:ascii="宋体" w:hAnsi="宋体"/>
                      <w:color w:val="000000" w:themeColor="text1"/>
                      <w:szCs w:val="21"/>
                    </w:rPr>
                    <w:t>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kern w:val="0"/>
                      <w:szCs w:val="21"/>
                    </w:rPr>
                    <w:t>浓度最大值</w:t>
                  </w:r>
                </w:p>
              </w:tc>
              <w:tc>
                <w:tcPr>
                  <w:tcW w:w="3974" w:type="dxa"/>
                  <w:gridSpan w:val="3"/>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0.367</w:t>
                  </w:r>
                </w:p>
              </w:tc>
              <w:tc>
                <w:tcPr>
                  <w:tcW w:w="1443"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评价标准</w:t>
                  </w:r>
                </w:p>
              </w:tc>
              <w:tc>
                <w:tcPr>
                  <w:tcW w:w="3974" w:type="dxa"/>
                  <w:gridSpan w:val="3"/>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olor w:val="000000" w:themeColor="text1"/>
                      <w:szCs w:val="21"/>
                    </w:rPr>
                    <w:t>1.0</w:t>
                  </w:r>
                </w:p>
              </w:tc>
              <w:tc>
                <w:tcPr>
                  <w:tcW w:w="1443"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01" w:type="dxa"/>
                  <w:vMerge w:val="continue"/>
                  <w:tcBorders>
                    <w:tl2br w:val="nil"/>
                    <w:tr2bl w:val="nil"/>
                  </w:tcBorders>
                  <w:vAlign w:val="center"/>
                </w:tcPr>
                <w:p>
                  <w:pPr>
                    <w:adjustRightInd w:val="0"/>
                    <w:snapToGrid w:val="0"/>
                    <w:jc w:val="center"/>
                    <w:rPr>
                      <w:color w:val="000000" w:themeColor="text1"/>
                      <w:szCs w:val="21"/>
                    </w:rPr>
                  </w:pPr>
                </w:p>
              </w:tc>
              <w:tc>
                <w:tcPr>
                  <w:tcW w:w="2353" w:type="dxa"/>
                  <w:gridSpan w:val="2"/>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达标情况</w:t>
                  </w:r>
                </w:p>
              </w:tc>
              <w:tc>
                <w:tcPr>
                  <w:tcW w:w="3974" w:type="dxa"/>
                  <w:gridSpan w:val="3"/>
                  <w:tcBorders>
                    <w:tl2br w:val="nil"/>
                    <w:tr2bl w:val="nil"/>
                  </w:tcBorders>
                  <w:vAlign w:val="center"/>
                </w:tcPr>
                <w:p>
                  <w:pPr>
                    <w:adjustRightInd w:val="0"/>
                    <w:snapToGrid w:val="0"/>
                    <w:jc w:val="center"/>
                    <w:rPr>
                      <w:rFonts w:ascii="宋体" w:hAnsi="宋体" w:cs="宋体"/>
                      <w:color w:val="000000" w:themeColor="text1"/>
                      <w:szCs w:val="21"/>
                    </w:rPr>
                  </w:pPr>
                  <w:bookmarkStart w:id="177" w:name="OLE_LINK45"/>
                  <w:r>
                    <w:rPr>
                      <w:rFonts w:hint="eastAsia" w:ascii="宋体" w:hAnsi="宋体" w:cs="宋体"/>
                      <w:color w:val="000000" w:themeColor="text1"/>
                      <w:szCs w:val="21"/>
                    </w:rPr>
                    <w:t>达标</w:t>
                  </w:r>
                  <w:bookmarkEnd w:id="177"/>
                </w:p>
              </w:tc>
              <w:tc>
                <w:tcPr>
                  <w:tcW w:w="1443" w:type="dxa"/>
                  <w:tcBorders>
                    <w:tl2br w:val="nil"/>
                    <w:tr2bl w:val="nil"/>
                  </w:tcBorders>
                  <w:vAlign w:val="center"/>
                </w:tcPr>
                <w:p>
                  <w:pPr>
                    <w:adjustRightInd w:val="0"/>
                    <w:snapToGrid w:val="0"/>
                    <w:jc w:val="center"/>
                    <w:rPr>
                      <w:rFonts w:ascii="宋体" w:hAnsi="宋体" w:cs="宋体"/>
                      <w:color w:val="000000" w:themeColor="text1"/>
                      <w:szCs w:val="21"/>
                    </w:rPr>
                  </w:pPr>
                  <w:r>
                    <w:rPr>
                      <w:rFonts w:hint="eastAsia" w:ascii="宋体" w:hAnsi="宋体"/>
                      <w:color w:val="000000" w:themeColor="text1"/>
                      <w:szCs w:val="21"/>
                    </w:rPr>
                    <w:t>/</w:t>
                  </w:r>
                </w:p>
              </w:tc>
            </w:tr>
          </w:tbl>
          <w:p>
            <w:pPr>
              <w:spacing w:line="360" w:lineRule="auto"/>
              <w:jc w:val="left"/>
              <w:rPr>
                <w:rFonts w:ascii="宋体" w:hAnsi="宋体" w:cs="宋体"/>
                <w:b/>
                <w:bCs/>
                <w:color w:val="000000" w:themeColor="text1"/>
                <w:sz w:val="24"/>
              </w:rPr>
            </w:pPr>
            <w:r>
              <w:rPr>
                <w:rFonts w:hint="eastAsia" w:ascii="宋体" w:hAnsi="宋体" w:cs="宋体"/>
                <w:b/>
                <w:bCs/>
                <w:color w:val="000000" w:themeColor="text1"/>
                <w:sz w:val="24"/>
              </w:rPr>
              <w:t>（2）有组织废气</w:t>
            </w:r>
          </w:p>
          <w:p>
            <w:pPr>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2018年10月24日-25日验收监测期间，油烟废气排口中饮食业油烟排放浓度最大值为≤2mg/m</w:t>
            </w:r>
            <w:r>
              <w:rPr>
                <w:rFonts w:hint="eastAsia" w:ascii="宋体" w:hAnsi="宋体" w:cs="宋体"/>
                <w:color w:val="000000" w:themeColor="text1"/>
                <w:sz w:val="24"/>
                <w:vertAlign w:val="superscript"/>
              </w:rPr>
              <w:t>3</w:t>
            </w:r>
            <w:r>
              <w:rPr>
                <w:rFonts w:hint="eastAsia" w:ascii="宋体" w:hAnsi="宋体" w:cs="宋体"/>
                <w:color w:val="000000" w:themeColor="text1"/>
                <w:sz w:val="24"/>
              </w:rPr>
              <w:t>，符合</w:t>
            </w:r>
            <w:r>
              <w:rPr>
                <w:rFonts w:hint="eastAsia" w:ascii="宋体" w:hAnsi="宋体"/>
                <w:color w:val="000000" w:themeColor="text1"/>
                <w:sz w:val="24"/>
              </w:rPr>
              <w:t>《饮食业油烟排放标准（试行）》（GB18483-2001）中小型标准。有组织废气监测结果见表7-6。</w:t>
            </w:r>
          </w:p>
          <w:p>
            <w:pPr>
              <w:jc w:val="center"/>
              <w:rPr>
                <w:rFonts w:ascii="黑体" w:eastAsia="黑体"/>
                <w:color w:val="000000" w:themeColor="text1"/>
                <w:sz w:val="24"/>
              </w:rPr>
            </w:pPr>
            <w:r>
              <w:rPr>
                <w:rFonts w:hint="eastAsia" w:ascii="黑体" w:eastAsia="黑体"/>
                <w:color w:val="000000" w:themeColor="text1"/>
                <w:sz w:val="24"/>
              </w:rPr>
              <w:t>表7-6 油烟废气排口（Q1）监测结果与评价</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316"/>
              <w:gridCol w:w="885"/>
              <w:gridCol w:w="836"/>
              <w:gridCol w:w="932"/>
              <w:gridCol w:w="821"/>
              <w:gridCol w:w="790"/>
              <w:gridCol w:w="710"/>
              <w:gridCol w:w="679"/>
              <w:gridCol w:w="616"/>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7" w:type="dxa"/>
                  <w:tcBorders>
                    <w:tl2br w:val="nil"/>
                    <w:tr2bl w:val="nil"/>
                  </w:tcBorders>
                  <w:vAlign w:val="center"/>
                </w:tcPr>
                <w:p>
                  <w:pPr>
                    <w:widowControl/>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监测</w:t>
                  </w:r>
                </w:p>
                <w:p>
                  <w:pPr>
                    <w:widowControl/>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时间</w:t>
                  </w:r>
                </w:p>
              </w:tc>
              <w:tc>
                <w:tcPr>
                  <w:tcW w:w="1316" w:type="dxa"/>
                  <w:tcBorders>
                    <w:tl2br w:val="nil"/>
                    <w:tr2bl w:val="nil"/>
                  </w:tcBorders>
                  <w:vAlign w:val="center"/>
                </w:tcPr>
                <w:p>
                  <w:pPr>
                    <w:widowControl/>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监测项目</w:t>
                  </w:r>
                </w:p>
              </w:tc>
              <w:tc>
                <w:tcPr>
                  <w:tcW w:w="885" w:type="dxa"/>
                  <w:tcBorders>
                    <w:tl2br w:val="nil"/>
                    <w:tr2bl w:val="nil"/>
                  </w:tcBorders>
                  <w:vAlign w:val="center"/>
                </w:tcPr>
                <w:p>
                  <w:pPr>
                    <w:widowControl/>
                    <w:jc w:val="center"/>
                    <w:rPr>
                      <w:rFonts w:ascii="宋体" w:hAnsi="宋体" w:cs="Arial"/>
                      <w:b/>
                      <w:bCs/>
                      <w:color w:val="000000" w:themeColor="text1"/>
                      <w:kern w:val="0"/>
                      <w:szCs w:val="21"/>
                    </w:rPr>
                  </w:pPr>
                  <w:r>
                    <w:rPr>
                      <w:rFonts w:hint="eastAsia" w:ascii="宋体" w:hAnsi="宋体" w:cs="Arial"/>
                      <w:b/>
                      <w:bCs/>
                      <w:color w:val="000000" w:themeColor="text1"/>
                      <w:kern w:val="0"/>
                      <w:szCs w:val="21"/>
                    </w:rPr>
                    <w:t>单位</w:t>
                  </w:r>
                </w:p>
              </w:tc>
              <w:tc>
                <w:tcPr>
                  <w:tcW w:w="836"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①</w:t>
                  </w:r>
                </w:p>
              </w:tc>
              <w:tc>
                <w:tcPr>
                  <w:tcW w:w="932"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②</w:t>
                  </w:r>
                </w:p>
              </w:tc>
              <w:tc>
                <w:tcPr>
                  <w:tcW w:w="821"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③</w:t>
                  </w:r>
                </w:p>
              </w:tc>
              <w:tc>
                <w:tcPr>
                  <w:tcW w:w="790"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④</w:t>
                  </w:r>
                </w:p>
              </w:tc>
              <w:tc>
                <w:tcPr>
                  <w:tcW w:w="710"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⑤</w:t>
                  </w:r>
                </w:p>
              </w:tc>
              <w:tc>
                <w:tcPr>
                  <w:tcW w:w="679"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均值</w:t>
                  </w:r>
                </w:p>
              </w:tc>
              <w:tc>
                <w:tcPr>
                  <w:tcW w:w="616"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限值</w:t>
                  </w:r>
                </w:p>
              </w:tc>
              <w:tc>
                <w:tcPr>
                  <w:tcW w:w="679" w:type="dxa"/>
                  <w:tcBorders>
                    <w:tl2br w:val="nil"/>
                    <w:tr2bl w:val="nil"/>
                  </w:tcBorders>
                  <w:vAlign w:val="center"/>
                </w:tcPr>
                <w:p>
                  <w:pPr>
                    <w:jc w:val="center"/>
                    <w:rPr>
                      <w:rFonts w:ascii="宋体" w:hAnsi="宋体" w:cs="Arial"/>
                      <w:b/>
                      <w:bCs/>
                      <w:color w:val="000000" w:themeColor="text1"/>
                      <w:sz w:val="18"/>
                      <w:szCs w:val="18"/>
                    </w:rPr>
                  </w:pPr>
                  <w:r>
                    <w:rPr>
                      <w:rFonts w:hint="eastAsia" w:ascii="宋体" w:hAnsi="宋体" w:cs="Arial"/>
                      <w:b/>
                      <w:bCs/>
                      <w:color w:val="000000" w:themeColor="text1"/>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7" w:type="dxa"/>
                  <w:tcBorders>
                    <w:tl2br w:val="nil"/>
                    <w:tr2bl w:val="nil"/>
                  </w:tcBorders>
                  <w:shd w:val="clear" w:color="auto" w:fill="auto"/>
                  <w:vAlign w:val="center"/>
                </w:tcPr>
                <w:p>
                  <w:pPr>
                    <w:jc w:val="center"/>
                    <w:rPr>
                      <w:rFonts w:ascii="宋体" w:hAnsi="宋体"/>
                      <w:color w:val="000000" w:themeColor="text1"/>
                    </w:rPr>
                  </w:pPr>
                  <w:r>
                    <w:rPr>
                      <w:rFonts w:hint="eastAsia" w:ascii="宋体" w:hAnsi="宋体"/>
                      <w:color w:val="000000" w:themeColor="text1"/>
                    </w:rPr>
                    <w:t>10月</w:t>
                  </w:r>
                </w:p>
                <w:p>
                  <w:pPr>
                    <w:jc w:val="center"/>
                    <w:rPr>
                      <w:rFonts w:ascii="宋体" w:hAnsi="宋体" w:cs="Arial"/>
                      <w:color w:val="000000" w:themeColor="text1"/>
                      <w:kern w:val="0"/>
                      <w:szCs w:val="21"/>
                    </w:rPr>
                  </w:pPr>
                  <w:r>
                    <w:rPr>
                      <w:rFonts w:hint="eastAsia" w:ascii="宋体" w:hAnsi="宋体"/>
                      <w:color w:val="000000" w:themeColor="text1"/>
                    </w:rPr>
                    <w:t>24日</w:t>
                  </w:r>
                </w:p>
              </w:tc>
              <w:tc>
                <w:tcPr>
                  <w:tcW w:w="1316"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饮食业油烟</w:t>
                  </w:r>
                </w:p>
                <w:p>
                  <w:pPr>
                    <w:jc w:val="center"/>
                    <w:rPr>
                      <w:rFonts w:ascii="宋体" w:hAnsi="宋体" w:cs="Arial"/>
                      <w:color w:val="000000" w:themeColor="text1"/>
                      <w:sz w:val="18"/>
                      <w:szCs w:val="18"/>
                    </w:rPr>
                  </w:pPr>
                  <w:r>
                    <w:rPr>
                      <w:rFonts w:hint="eastAsia" w:ascii="宋体" w:hAnsi="宋体" w:cs="Arial"/>
                      <w:color w:val="000000" w:themeColor="text1"/>
                      <w:sz w:val="18"/>
                      <w:szCs w:val="18"/>
                    </w:rPr>
                    <w:t>排放浓度</w:t>
                  </w:r>
                </w:p>
              </w:tc>
              <w:tc>
                <w:tcPr>
                  <w:tcW w:w="885" w:type="dxa"/>
                  <w:tcBorders>
                    <w:tl2br w:val="nil"/>
                    <w:tr2bl w:val="nil"/>
                  </w:tcBorders>
                  <w:vAlign w:val="center"/>
                </w:tcPr>
                <w:p>
                  <w:pPr>
                    <w:widowControl/>
                    <w:jc w:val="center"/>
                    <w:rPr>
                      <w:rFonts w:ascii="宋体" w:hAnsi="宋体" w:cs="Arial"/>
                      <w:color w:val="000000" w:themeColor="text1"/>
                      <w:kern w:val="0"/>
                      <w:szCs w:val="21"/>
                    </w:rPr>
                  </w:pPr>
                  <w:r>
                    <w:rPr>
                      <w:rFonts w:ascii="宋体" w:hAnsi="宋体" w:cs="Arial"/>
                      <w:color w:val="000000" w:themeColor="text1"/>
                      <w:kern w:val="0"/>
                      <w:szCs w:val="21"/>
                    </w:rPr>
                    <w:t>mg/m</w:t>
                  </w:r>
                  <w:r>
                    <w:rPr>
                      <w:rFonts w:ascii="宋体" w:hAnsi="宋体" w:cs="Arial"/>
                      <w:color w:val="000000" w:themeColor="text1"/>
                      <w:kern w:val="0"/>
                      <w:szCs w:val="21"/>
                      <w:vertAlign w:val="superscript"/>
                    </w:rPr>
                    <w:t>3</w:t>
                  </w:r>
                </w:p>
              </w:tc>
              <w:tc>
                <w:tcPr>
                  <w:tcW w:w="836"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932"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821"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790"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710"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679"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616"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2.0</w:t>
                  </w:r>
                </w:p>
              </w:tc>
              <w:tc>
                <w:tcPr>
                  <w:tcW w:w="679"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7"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10月</w:t>
                  </w:r>
                </w:p>
                <w:p>
                  <w:pPr>
                    <w:jc w:val="center"/>
                    <w:rPr>
                      <w:rFonts w:ascii="宋体" w:hAnsi="宋体" w:cs="Arial"/>
                      <w:color w:val="000000" w:themeColor="text1"/>
                      <w:kern w:val="0"/>
                      <w:szCs w:val="21"/>
                    </w:rPr>
                  </w:pPr>
                  <w:r>
                    <w:rPr>
                      <w:rFonts w:hint="eastAsia" w:ascii="宋体" w:hAnsi="宋体"/>
                      <w:color w:val="000000" w:themeColor="text1"/>
                    </w:rPr>
                    <w:t>25日</w:t>
                  </w:r>
                </w:p>
              </w:tc>
              <w:tc>
                <w:tcPr>
                  <w:tcW w:w="1316"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饮食业油烟</w:t>
                  </w:r>
                </w:p>
                <w:p>
                  <w:pPr>
                    <w:jc w:val="center"/>
                    <w:rPr>
                      <w:rFonts w:ascii="宋体" w:hAnsi="宋体" w:cs="Arial"/>
                      <w:color w:val="000000" w:themeColor="text1"/>
                      <w:sz w:val="18"/>
                      <w:szCs w:val="18"/>
                    </w:rPr>
                  </w:pPr>
                  <w:r>
                    <w:rPr>
                      <w:rFonts w:hint="eastAsia" w:ascii="宋体" w:hAnsi="宋体" w:cs="Arial"/>
                      <w:color w:val="000000" w:themeColor="text1"/>
                      <w:sz w:val="18"/>
                      <w:szCs w:val="18"/>
                    </w:rPr>
                    <w:t>排放浓度</w:t>
                  </w:r>
                </w:p>
              </w:tc>
              <w:tc>
                <w:tcPr>
                  <w:tcW w:w="885" w:type="dxa"/>
                  <w:tcBorders>
                    <w:tl2br w:val="nil"/>
                    <w:tr2bl w:val="nil"/>
                  </w:tcBorders>
                  <w:vAlign w:val="center"/>
                </w:tcPr>
                <w:p>
                  <w:pPr>
                    <w:widowControl/>
                    <w:jc w:val="center"/>
                    <w:rPr>
                      <w:rFonts w:ascii="宋体" w:hAnsi="宋体" w:cs="Arial"/>
                      <w:color w:val="000000" w:themeColor="text1"/>
                      <w:kern w:val="0"/>
                      <w:szCs w:val="21"/>
                    </w:rPr>
                  </w:pPr>
                  <w:r>
                    <w:rPr>
                      <w:rFonts w:ascii="宋体" w:hAnsi="宋体" w:cs="Arial"/>
                      <w:color w:val="000000" w:themeColor="text1"/>
                      <w:kern w:val="0"/>
                      <w:szCs w:val="21"/>
                    </w:rPr>
                    <w:t>mg/m</w:t>
                  </w:r>
                  <w:r>
                    <w:rPr>
                      <w:rFonts w:ascii="宋体" w:hAnsi="宋体" w:cs="Arial"/>
                      <w:color w:val="000000" w:themeColor="text1"/>
                      <w:kern w:val="0"/>
                      <w:szCs w:val="21"/>
                      <w:vertAlign w:val="superscript"/>
                    </w:rPr>
                    <w:t>3</w:t>
                  </w:r>
                </w:p>
              </w:tc>
              <w:tc>
                <w:tcPr>
                  <w:tcW w:w="836"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932"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821"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790"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710"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679" w:type="dxa"/>
                  <w:tcBorders>
                    <w:tl2br w:val="nil"/>
                    <w:tr2bl w:val="nil"/>
                  </w:tcBorders>
                  <w:vAlign w:val="center"/>
                </w:tcPr>
                <w:p>
                  <w:pPr>
                    <w:jc w:val="center"/>
                    <w:rPr>
                      <w:rFonts w:ascii="宋体" w:hAnsi="宋体" w:cs="Arial"/>
                      <w:color w:val="000000" w:themeColor="text1"/>
                      <w:sz w:val="18"/>
                      <w:szCs w:val="18"/>
                    </w:rPr>
                  </w:pPr>
                  <w:r>
                    <w:rPr>
                      <w:rFonts w:ascii="宋体" w:hAnsi="宋体" w:cs="Arial"/>
                      <w:color w:val="000000" w:themeColor="text1"/>
                      <w:sz w:val="18"/>
                      <w:szCs w:val="18"/>
                    </w:rPr>
                    <w:t>≤</w:t>
                  </w:r>
                  <w:r>
                    <w:rPr>
                      <w:rFonts w:hint="eastAsia" w:ascii="宋体" w:hAnsi="宋体" w:cs="Arial"/>
                      <w:color w:val="000000" w:themeColor="text1"/>
                      <w:sz w:val="18"/>
                      <w:szCs w:val="18"/>
                    </w:rPr>
                    <w:t>2</w:t>
                  </w:r>
                </w:p>
              </w:tc>
              <w:tc>
                <w:tcPr>
                  <w:tcW w:w="616"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2.0</w:t>
                  </w:r>
                </w:p>
              </w:tc>
              <w:tc>
                <w:tcPr>
                  <w:tcW w:w="679" w:type="dxa"/>
                  <w:tcBorders>
                    <w:tl2br w:val="nil"/>
                    <w:tr2bl w:val="nil"/>
                  </w:tcBorders>
                  <w:vAlign w:val="center"/>
                </w:tcPr>
                <w:p>
                  <w:pPr>
                    <w:jc w:val="center"/>
                    <w:rPr>
                      <w:rFonts w:ascii="宋体" w:hAnsi="宋体" w:cs="Arial"/>
                      <w:color w:val="000000" w:themeColor="text1"/>
                      <w:sz w:val="18"/>
                      <w:szCs w:val="18"/>
                    </w:rPr>
                  </w:pPr>
                  <w:r>
                    <w:rPr>
                      <w:rFonts w:hint="eastAsia" w:ascii="宋体" w:hAnsi="宋体" w:cs="Arial"/>
                      <w:color w:val="000000" w:themeColor="text1"/>
                      <w:sz w:val="18"/>
                      <w:szCs w:val="18"/>
                    </w:rPr>
                    <w:t>达标</w:t>
                  </w:r>
                </w:p>
              </w:tc>
            </w:tr>
          </w:tbl>
          <w:p>
            <w:pPr>
              <w:snapToGrid w:val="0"/>
              <w:rPr>
                <w:rFonts w:ascii="宋体" w:hAnsi="宋体" w:cs="宋体"/>
                <w:b/>
                <w:bCs/>
                <w:color w:val="000000" w:themeColor="text1"/>
                <w:sz w:val="24"/>
              </w:rPr>
            </w:pPr>
            <w:r>
              <w:rPr>
                <w:rFonts w:hint="eastAsia" w:ascii="宋体" w:hAnsi="宋体" w:cs="宋体"/>
                <w:b/>
                <w:bCs/>
                <w:color w:val="000000" w:themeColor="text1"/>
                <w:sz w:val="24"/>
              </w:rPr>
              <w:t>3、噪声监测结果及评价</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2018年10月24日-25日验收监测期间，10月24日天气晴，10月25日天气阴，风速2.3m/s-2.7m/s，本项目厂界昼间噪声最大值为56.7dB(A)，达到《工业企业厂界环境噪声排放标准》（GB12348-2008）2类标准。厂界昼间环境噪声监测结果见表7-7。</w:t>
            </w:r>
          </w:p>
          <w:p>
            <w:pPr>
              <w:spacing w:line="360" w:lineRule="auto"/>
              <w:ind w:firstLine="480" w:firstLineChars="200"/>
              <w:jc w:val="left"/>
              <w:rPr>
                <w:rFonts w:ascii="宋体" w:hAnsi="宋体"/>
                <w:color w:val="FF0000"/>
                <w:sz w:val="24"/>
              </w:rPr>
            </w:pPr>
          </w:p>
          <w:p>
            <w:pPr>
              <w:rPr>
                <w:rFonts w:ascii="黑体" w:eastAsia="黑体"/>
                <w:color w:val="FF0000"/>
                <w:sz w:val="24"/>
              </w:rPr>
            </w:pPr>
          </w:p>
        </w:tc>
      </w:tr>
    </w:tbl>
    <w:p>
      <w:pPr>
        <w:rPr>
          <w:b/>
          <w:color w:val="000000" w:themeColor="text1"/>
          <w:sz w:val="28"/>
          <w:szCs w:val="28"/>
        </w:rPr>
      </w:pPr>
      <w:bookmarkStart w:id="178" w:name="_Toc1105"/>
      <w:bookmarkStart w:id="179" w:name="_Toc8698"/>
      <w:bookmarkStart w:id="180" w:name="_Toc7707"/>
      <w:bookmarkStart w:id="181" w:name="_Toc31753"/>
      <w:bookmarkStart w:id="182" w:name="_Toc10879"/>
      <w:bookmarkStart w:id="183" w:name="_Toc15076"/>
      <w:bookmarkStart w:id="184" w:name="_Toc32463"/>
      <w:bookmarkStart w:id="185" w:name="_Toc12745"/>
      <w:bookmarkStart w:id="186" w:name="_Toc17260"/>
      <w:bookmarkStart w:id="187" w:name="_Toc31480"/>
      <w:bookmarkStart w:id="188" w:name="_Toc18442"/>
      <w:bookmarkStart w:id="189" w:name="_Toc19763_WPSOffice_Level1"/>
      <w:r>
        <w:rPr>
          <w:rFonts w:hint="eastAsia"/>
          <w:b/>
          <w:color w:val="000000" w:themeColor="text1"/>
          <w:sz w:val="28"/>
          <w:szCs w:val="28"/>
        </w:rPr>
        <w:t>续表</w:t>
      </w:r>
      <w:bookmarkEnd w:id="178"/>
      <w:bookmarkEnd w:id="179"/>
      <w:bookmarkEnd w:id="180"/>
      <w:bookmarkEnd w:id="181"/>
      <w:bookmarkEnd w:id="182"/>
      <w:bookmarkEnd w:id="183"/>
      <w:bookmarkEnd w:id="184"/>
      <w:r>
        <w:rPr>
          <w:rFonts w:hint="eastAsia"/>
          <w:b/>
          <w:color w:val="000000" w:themeColor="text1"/>
          <w:sz w:val="28"/>
          <w:szCs w:val="28"/>
        </w:rPr>
        <w:t>七</w:t>
      </w:r>
      <w:bookmarkEnd w:id="185"/>
      <w:bookmarkEnd w:id="186"/>
      <w:bookmarkEnd w:id="187"/>
      <w:bookmarkEnd w:id="188"/>
      <w:bookmarkEnd w:id="189"/>
    </w:p>
    <w:tbl>
      <w:tblPr>
        <w:tblStyle w:val="13"/>
        <w:tblW w:w="9354"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trPr>
        <w:tc>
          <w:tcPr>
            <w:tcW w:w="9354" w:type="dxa"/>
          </w:tcPr>
          <w:p>
            <w:pPr>
              <w:jc w:val="center"/>
              <w:rPr>
                <w:rFonts w:ascii="黑体" w:eastAsia="黑体"/>
                <w:color w:val="000000" w:themeColor="text1"/>
                <w:sz w:val="24"/>
              </w:rPr>
            </w:pPr>
            <w:r>
              <w:rPr>
                <w:rFonts w:hint="eastAsia" w:ascii="黑体" w:eastAsia="黑体"/>
                <w:color w:val="000000" w:themeColor="text1"/>
                <w:sz w:val="24"/>
              </w:rPr>
              <w:t>表7-7厂界昼间噪声监测结果及评价</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022"/>
              <w:gridCol w:w="2134"/>
              <w:gridCol w:w="836"/>
              <w:gridCol w:w="871"/>
              <w:gridCol w:w="1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b/>
                      <w:bCs/>
                      <w:color w:val="000000" w:themeColor="text1"/>
                    </w:rPr>
                  </w:pPr>
                  <w:r>
                    <w:rPr>
                      <w:rFonts w:hint="eastAsia" w:ascii="宋体" w:hAnsi="宋体"/>
                      <w:b/>
                      <w:bCs/>
                      <w:color w:val="000000" w:themeColor="text1"/>
                    </w:rPr>
                    <w:t>监测点位</w:t>
                  </w:r>
                </w:p>
              </w:tc>
              <w:tc>
                <w:tcPr>
                  <w:tcW w:w="2022" w:type="dxa"/>
                  <w:tcBorders>
                    <w:tl2br w:val="nil"/>
                    <w:tr2bl w:val="nil"/>
                  </w:tcBorders>
                  <w:vAlign w:val="center"/>
                </w:tcPr>
                <w:p>
                  <w:pPr>
                    <w:jc w:val="center"/>
                    <w:rPr>
                      <w:rFonts w:ascii="宋体" w:hAnsi="宋体"/>
                      <w:b/>
                      <w:bCs/>
                      <w:color w:val="000000" w:themeColor="text1"/>
                    </w:rPr>
                  </w:pPr>
                  <w:r>
                    <w:rPr>
                      <w:rFonts w:hint="eastAsia" w:ascii="宋体" w:hAnsi="宋体"/>
                      <w:b/>
                      <w:bCs/>
                      <w:color w:val="000000" w:themeColor="text1"/>
                    </w:rPr>
                    <w:t>监测时间</w:t>
                  </w:r>
                </w:p>
              </w:tc>
              <w:tc>
                <w:tcPr>
                  <w:tcW w:w="2134" w:type="dxa"/>
                  <w:tcBorders>
                    <w:tl2br w:val="nil"/>
                    <w:tr2bl w:val="nil"/>
                  </w:tcBorders>
                  <w:vAlign w:val="center"/>
                </w:tcPr>
                <w:p>
                  <w:pPr>
                    <w:jc w:val="center"/>
                    <w:rPr>
                      <w:rFonts w:ascii="宋体" w:hAnsi="宋体"/>
                      <w:b/>
                      <w:bCs/>
                      <w:color w:val="000000" w:themeColor="text1"/>
                    </w:rPr>
                  </w:pPr>
                  <w:r>
                    <w:rPr>
                      <w:rFonts w:hint="eastAsia" w:ascii="宋体" w:hAnsi="宋体"/>
                      <w:b/>
                      <w:bCs/>
                      <w:color w:val="000000" w:themeColor="text1"/>
                    </w:rPr>
                    <w:t>测点位置</w:t>
                  </w:r>
                </w:p>
              </w:tc>
              <w:tc>
                <w:tcPr>
                  <w:tcW w:w="1707" w:type="dxa"/>
                  <w:gridSpan w:val="2"/>
                  <w:tcBorders>
                    <w:tl2br w:val="nil"/>
                    <w:tr2bl w:val="nil"/>
                  </w:tcBorders>
                  <w:vAlign w:val="center"/>
                </w:tcPr>
                <w:p>
                  <w:pPr>
                    <w:jc w:val="center"/>
                    <w:rPr>
                      <w:rFonts w:ascii="宋体" w:hAnsi="宋体"/>
                      <w:b/>
                      <w:bCs/>
                      <w:color w:val="000000" w:themeColor="text1"/>
                    </w:rPr>
                  </w:pPr>
                  <w:r>
                    <w:rPr>
                      <w:rFonts w:hint="eastAsia" w:ascii="宋体" w:hAnsi="宋体"/>
                      <w:b/>
                      <w:bCs/>
                      <w:color w:val="000000" w:themeColor="text1"/>
                    </w:rPr>
                    <w:t>昼间声级值dB(A)</w:t>
                  </w:r>
                </w:p>
              </w:tc>
              <w:tc>
                <w:tcPr>
                  <w:tcW w:w="1818" w:type="dxa"/>
                  <w:tcBorders>
                    <w:tl2br w:val="nil"/>
                    <w:tr2bl w:val="nil"/>
                  </w:tcBorders>
                  <w:vAlign w:val="center"/>
                </w:tcPr>
                <w:p>
                  <w:pPr>
                    <w:jc w:val="center"/>
                    <w:rPr>
                      <w:rFonts w:ascii="宋体" w:hAnsi="宋体"/>
                      <w:b/>
                      <w:bCs/>
                      <w:color w:val="000000" w:themeColor="text1"/>
                    </w:rPr>
                  </w:pPr>
                  <w:r>
                    <w:rPr>
                      <w:rFonts w:hint="eastAsia" w:ascii="宋体" w:hAnsi="宋体"/>
                      <w:b/>
                      <w:bCs/>
                      <w:color w:val="000000" w:themeColor="text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Z1</w:t>
                  </w:r>
                </w:p>
              </w:tc>
              <w:tc>
                <w:tcPr>
                  <w:tcW w:w="2022" w:type="dxa"/>
                  <w:vMerge w:val="restart"/>
                  <w:tcBorders>
                    <w:tl2br w:val="nil"/>
                    <w:tr2bl w:val="nil"/>
                  </w:tcBorders>
                  <w:shd w:val="clear" w:color="auto" w:fill="auto"/>
                  <w:vAlign w:val="center"/>
                </w:tcPr>
                <w:p>
                  <w:pPr>
                    <w:jc w:val="center"/>
                    <w:rPr>
                      <w:rFonts w:ascii="宋体" w:hAnsi="宋体" w:cs="宋体"/>
                      <w:color w:val="000000" w:themeColor="text1"/>
                      <w:szCs w:val="21"/>
                    </w:rPr>
                  </w:pPr>
                  <w:r>
                    <w:rPr>
                      <w:rFonts w:hint="eastAsia" w:ascii="宋体" w:hAnsi="宋体" w:cs="宋体"/>
                      <w:color w:val="000000" w:themeColor="text1"/>
                      <w:szCs w:val="21"/>
                    </w:rPr>
                    <w:t>2018年10月</w:t>
                  </w:r>
                </w:p>
                <w:p>
                  <w:pPr>
                    <w:jc w:val="center"/>
                    <w:rPr>
                      <w:rFonts w:ascii="宋体" w:hAnsi="宋体"/>
                      <w:color w:val="000000" w:themeColor="text1"/>
                    </w:rPr>
                  </w:pPr>
                  <w:r>
                    <w:rPr>
                      <w:rFonts w:hint="eastAsia" w:ascii="宋体" w:hAnsi="宋体" w:cs="宋体"/>
                      <w:color w:val="000000" w:themeColor="text1"/>
                      <w:szCs w:val="21"/>
                    </w:rPr>
                    <w:t>24日</w:t>
                  </w:r>
                </w:p>
              </w:tc>
              <w:tc>
                <w:tcPr>
                  <w:tcW w:w="2134" w:type="dxa"/>
                  <w:tcBorders>
                    <w:tl2br w:val="nil"/>
                    <w:tr2bl w:val="nil"/>
                  </w:tcBorders>
                  <w:vAlign w:val="center"/>
                </w:tcPr>
                <w:p>
                  <w:pPr>
                    <w:spacing w:line="320" w:lineRule="exact"/>
                    <w:jc w:val="center"/>
                    <w:rPr>
                      <w:rFonts w:ascii="宋体" w:hAnsi="宋体"/>
                      <w:color w:val="000000" w:themeColor="text1"/>
                    </w:rPr>
                  </w:pPr>
                  <w:r>
                    <w:rPr>
                      <w:bCs/>
                      <w:color w:val="000000" w:themeColor="text1"/>
                      <w:szCs w:val="21"/>
                    </w:rPr>
                    <w:t>东</w:t>
                  </w:r>
                  <w:r>
                    <w:rPr>
                      <w:rFonts w:hint="eastAsia"/>
                      <w:bCs/>
                      <w:color w:val="000000" w:themeColor="text1"/>
                      <w:szCs w:val="21"/>
                    </w:rPr>
                    <w:t>北</w:t>
                  </w:r>
                  <w:r>
                    <w:rPr>
                      <w:bCs/>
                      <w:color w:val="000000" w:themeColor="text1"/>
                      <w:szCs w:val="21"/>
                    </w:rPr>
                    <w:t>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55.6</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54.9</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Z2</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rFonts w:hint="eastAsia"/>
                      <w:bCs/>
                      <w:color w:val="000000" w:themeColor="text1"/>
                      <w:szCs w:val="21"/>
                    </w:rPr>
                    <w:t>东</w:t>
                  </w:r>
                  <w:r>
                    <w:rPr>
                      <w:bCs/>
                      <w:color w:val="000000" w:themeColor="text1"/>
                      <w:szCs w:val="21"/>
                    </w:rPr>
                    <w:t>南厂界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51.3</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50.6</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Z3</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bCs/>
                      <w:color w:val="000000" w:themeColor="text1"/>
                      <w:szCs w:val="21"/>
                    </w:rPr>
                    <w:t>西</w:t>
                  </w:r>
                  <w:r>
                    <w:rPr>
                      <w:rFonts w:hint="eastAsia"/>
                      <w:bCs/>
                      <w:color w:val="000000" w:themeColor="text1"/>
                      <w:szCs w:val="21"/>
                    </w:rPr>
                    <w:t>南</w:t>
                  </w:r>
                  <w:r>
                    <w:rPr>
                      <w:bCs/>
                      <w:color w:val="000000" w:themeColor="text1"/>
                      <w:szCs w:val="21"/>
                    </w:rPr>
                    <w:t>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52.8</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52.6</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Z4</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rFonts w:hint="eastAsia"/>
                      <w:bCs/>
                      <w:color w:val="000000" w:themeColor="text1"/>
                      <w:szCs w:val="21"/>
                    </w:rPr>
                    <w:t>西</w:t>
                  </w:r>
                  <w:r>
                    <w:rPr>
                      <w:bCs/>
                      <w:color w:val="000000" w:themeColor="text1"/>
                      <w:szCs w:val="21"/>
                    </w:rPr>
                    <w:t>北厂界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56.7</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56.3</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Z1</w:t>
                  </w:r>
                </w:p>
              </w:tc>
              <w:tc>
                <w:tcPr>
                  <w:tcW w:w="2022" w:type="dxa"/>
                  <w:vMerge w:val="restart"/>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2018年10月</w:t>
                  </w:r>
                </w:p>
                <w:p>
                  <w:pPr>
                    <w:jc w:val="center"/>
                    <w:rPr>
                      <w:rFonts w:ascii="宋体" w:hAnsi="宋体"/>
                      <w:color w:val="000000" w:themeColor="text1"/>
                    </w:rPr>
                  </w:pPr>
                  <w:r>
                    <w:rPr>
                      <w:rFonts w:hint="eastAsia" w:ascii="宋体" w:hAnsi="宋体" w:cs="宋体"/>
                      <w:color w:val="000000" w:themeColor="text1"/>
                      <w:szCs w:val="21"/>
                    </w:rPr>
                    <w:t>25日</w:t>
                  </w:r>
                </w:p>
              </w:tc>
              <w:tc>
                <w:tcPr>
                  <w:tcW w:w="2134" w:type="dxa"/>
                  <w:tcBorders>
                    <w:tl2br w:val="nil"/>
                    <w:tr2bl w:val="nil"/>
                  </w:tcBorders>
                  <w:vAlign w:val="center"/>
                </w:tcPr>
                <w:p>
                  <w:pPr>
                    <w:spacing w:line="320" w:lineRule="exact"/>
                    <w:jc w:val="center"/>
                    <w:rPr>
                      <w:rFonts w:ascii="宋体" w:hAnsi="宋体"/>
                      <w:color w:val="000000" w:themeColor="text1"/>
                    </w:rPr>
                  </w:pPr>
                  <w:r>
                    <w:rPr>
                      <w:bCs/>
                      <w:color w:val="000000" w:themeColor="text1"/>
                      <w:szCs w:val="21"/>
                    </w:rPr>
                    <w:t>东</w:t>
                  </w:r>
                  <w:r>
                    <w:rPr>
                      <w:rFonts w:hint="eastAsia"/>
                      <w:bCs/>
                      <w:color w:val="000000" w:themeColor="text1"/>
                      <w:szCs w:val="21"/>
                    </w:rPr>
                    <w:t>北</w:t>
                  </w:r>
                  <w:r>
                    <w:rPr>
                      <w:bCs/>
                      <w:color w:val="000000" w:themeColor="text1"/>
                      <w:szCs w:val="21"/>
                    </w:rPr>
                    <w:t>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54.6</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55.8</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Z2</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rFonts w:hint="eastAsia"/>
                      <w:bCs/>
                      <w:color w:val="000000" w:themeColor="text1"/>
                      <w:szCs w:val="21"/>
                    </w:rPr>
                    <w:t>东</w:t>
                  </w:r>
                  <w:r>
                    <w:rPr>
                      <w:bCs/>
                      <w:color w:val="000000" w:themeColor="text1"/>
                      <w:szCs w:val="21"/>
                    </w:rPr>
                    <w:t>南厂界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50.9</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52.5</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Z3</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bCs/>
                      <w:color w:val="000000" w:themeColor="text1"/>
                      <w:szCs w:val="21"/>
                    </w:rPr>
                    <w:t>西</w:t>
                  </w:r>
                  <w:r>
                    <w:rPr>
                      <w:rFonts w:hint="eastAsia"/>
                      <w:bCs/>
                      <w:color w:val="000000" w:themeColor="text1"/>
                      <w:szCs w:val="21"/>
                    </w:rPr>
                    <w:t>南</w:t>
                  </w:r>
                  <w:r>
                    <w:rPr>
                      <w:bCs/>
                      <w:color w:val="000000" w:themeColor="text1"/>
                      <w:szCs w:val="21"/>
                    </w:rPr>
                    <w:t>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53.4</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53.3</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90"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Z4</w:t>
                  </w:r>
                </w:p>
              </w:tc>
              <w:tc>
                <w:tcPr>
                  <w:tcW w:w="2022" w:type="dxa"/>
                  <w:vMerge w:val="continue"/>
                  <w:tcBorders>
                    <w:tl2br w:val="nil"/>
                    <w:tr2bl w:val="nil"/>
                  </w:tcBorders>
                  <w:vAlign w:val="center"/>
                </w:tcPr>
                <w:p>
                  <w:pPr>
                    <w:jc w:val="center"/>
                    <w:rPr>
                      <w:rFonts w:ascii="宋体" w:hAnsi="宋体"/>
                      <w:color w:val="000000" w:themeColor="text1"/>
                    </w:rPr>
                  </w:pPr>
                </w:p>
              </w:tc>
              <w:tc>
                <w:tcPr>
                  <w:tcW w:w="2134" w:type="dxa"/>
                  <w:tcBorders>
                    <w:tl2br w:val="nil"/>
                    <w:tr2bl w:val="nil"/>
                  </w:tcBorders>
                  <w:vAlign w:val="center"/>
                </w:tcPr>
                <w:p>
                  <w:pPr>
                    <w:spacing w:line="320" w:lineRule="exact"/>
                    <w:jc w:val="center"/>
                    <w:rPr>
                      <w:rFonts w:ascii="宋体" w:hAnsi="宋体"/>
                      <w:color w:val="000000" w:themeColor="text1"/>
                    </w:rPr>
                  </w:pPr>
                  <w:r>
                    <w:rPr>
                      <w:rFonts w:hint="eastAsia"/>
                      <w:bCs/>
                      <w:color w:val="000000" w:themeColor="text1"/>
                      <w:szCs w:val="21"/>
                    </w:rPr>
                    <w:t>西</w:t>
                  </w:r>
                  <w:r>
                    <w:rPr>
                      <w:bCs/>
                      <w:color w:val="000000" w:themeColor="text1"/>
                      <w:szCs w:val="21"/>
                    </w:rPr>
                    <w:t>北厂界</w:t>
                  </w:r>
                </w:p>
              </w:tc>
              <w:tc>
                <w:tcPr>
                  <w:tcW w:w="836"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56.7</w:t>
                  </w:r>
                </w:p>
              </w:tc>
              <w:tc>
                <w:tcPr>
                  <w:tcW w:w="871" w:type="dxa"/>
                  <w:tcBorders>
                    <w:tl2br w:val="nil"/>
                    <w:tr2bl w:val="nil"/>
                  </w:tcBorders>
                  <w:vAlign w:val="center"/>
                </w:tcPr>
                <w:p>
                  <w:pPr>
                    <w:jc w:val="center"/>
                    <w:rPr>
                      <w:rFonts w:ascii="宋体" w:hAnsi="宋体"/>
                      <w:color w:val="000000" w:themeColor="text1"/>
                    </w:rPr>
                  </w:pPr>
                  <w:r>
                    <w:rPr>
                      <w:rFonts w:hint="eastAsia" w:ascii="宋体" w:hAnsi="宋体" w:cs="宋体"/>
                      <w:color w:val="000000" w:themeColor="text1"/>
                      <w:szCs w:val="21"/>
                    </w:rPr>
                    <w:t>55.2</w:t>
                  </w:r>
                </w:p>
              </w:tc>
              <w:tc>
                <w:tcPr>
                  <w:tcW w:w="181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546" w:type="dxa"/>
                  <w:gridSpan w:val="3"/>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评价标准</w:t>
                  </w:r>
                </w:p>
              </w:tc>
              <w:tc>
                <w:tcPr>
                  <w:tcW w:w="3525" w:type="dxa"/>
                  <w:gridSpan w:val="3"/>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60dB(A)</w:t>
                  </w:r>
                </w:p>
              </w:tc>
            </w:tr>
          </w:tbl>
          <w:p>
            <w:pPr>
              <w:rPr>
                <w:b/>
                <w:color w:val="FF0000"/>
                <w:sz w:val="24"/>
              </w:rPr>
            </w:pPr>
          </w:p>
          <w:p>
            <w:pPr>
              <w:rPr>
                <w:rFonts w:ascii="宋体" w:hAnsi="宋体" w:cs="宋体"/>
                <w:b/>
                <w:bCs/>
                <w:color w:val="000000" w:themeColor="text1"/>
                <w:sz w:val="24"/>
              </w:rPr>
            </w:pPr>
            <w:r>
              <w:rPr>
                <w:rFonts w:hint="eastAsia" w:ascii="宋体" w:hAnsi="宋体" w:cs="宋体"/>
                <w:b/>
                <w:bCs/>
                <w:color w:val="000000" w:themeColor="text1"/>
                <w:sz w:val="24"/>
              </w:rPr>
              <w:t>4、总量</w:t>
            </w:r>
          </w:p>
          <w:p>
            <w:pPr>
              <w:spacing w:line="360" w:lineRule="auto"/>
              <w:ind w:firstLine="480" w:firstLineChars="200"/>
              <w:jc w:val="left"/>
              <w:rPr>
                <w:rFonts w:ascii="宋体"/>
                <w:color w:val="000000" w:themeColor="text1"/>
                <w:sz w:val="24"/>
              </w:rPr>
            </w:pPr>
            <w:r>
              <w:rPr>
                <w:rFonts w:hint="eastAsia" w:ascii="宋体" w:hAnsi="宋体" w:cs="宋体"/>
                <w:color w:val="000000" w:themeColor="text1"/>
                <w:sz w:val="24"/>
              </w:rPr>
              <w:t>根据验收监测结果核算污染物排放总量，项目废水中废水量、COD</w:t>
            </w:r>
            <w:r>
              <w:rPr>
                <w:rFonts w:hint="eastAsia" w:ascii="宋体" w:hAnsi="宋体" w:cs="宋体"/>
                <w:color w:val="000000" w:themeColor="text1"/>
                <w:sz w:val="24"/>
                <w:vertAlign w:val="subscript"/>
              </w:rPr>
              <w:t>cr</w:t>
            </w:r>
            <w:r>
              <w:rPr>
                <w:rFonts w:hint="eastAsia" w:ascii="宋体" w:hAnsi="宋体" w:cs="宋体"/>
                <w:color w:val="000000" w:themeColor="text1"/>
                <w:sz w:val="24"/>
              </w:rPr>
              <w:t>、SS、氨氮、总磷、动植物油的排放量分别为720t/a、0.0259</w:t>
            </w:r>
            <w:r>
              <w:rPr>
                <w:rFonts w:hint="eastAsia" w:ascii="宋体" w:hAnsi="宋体" w:cs="宋体"/>
                <w:color w:val="000000" w:themeColor="text1"/>
                <w:kern w:val="0"/>
                <w:sz w:val="24"/>
              </w:rPr>
              <w:t>t/a、0.0072t/a、0.0095t/a、0.0007t/a、0.0001t/a。污染物总量核算见</w:t>
            </w:r>
            <w:r>
              <w:rPr>
                <w:rFonts w:hint="eastAsia" w:ascii="宋体" w:hAnsi="宋体" w:cs="宋体"/>
                <w:color w:val="000000" w:themeColor="text1"/>
                <w:sz w:val="24"/>
              </w:rPr>
              <w:t>表7-8。</w:t>
            </w:r>
          </w:p>
          <w:p>
            <w:pPr>
              <w:jc w:val="center"/>
              <w:rPr>
                <w:rFonts w:ascii="黑体" w:eastAsia="黑体"/>
                <w:color w:val="000000" w:themeColor="text1"/>
                <w:sz w:val="24"/>
              </w:rPr>
            </w:pPr>
            <w:r>
              <w:rPr>
                <w:rFonts w:hint="eastAsia" w:ascii="黑体" w:eastAsia="黑体"/>
                <w:color w:val="000000" w:themeColor="text1"/>
                <w:sz w:val="24"/>
              </w:rPr>
              <w:t>表7-8 废水污染物总量核算</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2570"/>
              <w:gridCol w:w="2322"/>
              <w:gridCol w:w="2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tcBorders>
                    <w:tl2br w:val="nil"/>
                    <w:tr2bl w:val="nil"/>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类别</w:t>
                  </w:r>
                </w:p>
              </w:tc>
              <w:tc>
                <w:tcPr>
                  <w:tcW w:w="2570" w:type="dxa"/>
                  <w:tcBorders>
                    <w:tl2br w:val="nil"/>
                    <w:tr2bl w:val="nil"/>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污染物</w:t>
                  </w:r>
                </w:p>
              </w:tc>
              <w:tc>
                <w:tcPr>
                  <w:tcW w:w="2322" w:type="dxa"/>
                  <w:tcBorders>
                    <w:tl2br w:val="nil"/>
                    <w:tr2bl w:val="nil"/>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平均排放浓度</w:t>
                  </w:r>
                </w:p>
                <w:p>
                  <w:pPr>
                    <w:jc w:val="center"/>
                    <w:rPr>
                      <w:rFonts w:ascii="宋体" w:hAnsi="宋体" w:cs="宋体"/>
                      <w:b/>
                      <w:bCs/>
                      <w:color w:val="000000" w:themeColor="text1"/>
                      <w:szCs w:val="21"/>
                    </w:rPr>
                  </w:pPr>
                  <w:r>
                    <w:rPr>
                      <w:rFonts w:hint="eastAsia" w:ascii="宋体" w:hAnsi="宋体" w:cs="宋体"/>
                      <w:b/>
                      <w:bCs/>
                      <w:color w:val="000000" w:themeColor="text1"/>
                      <w:szCs w:val="21"/>
                    </w:rPr>
                    <w:t>（mg/L）</w:t>
                  </w:r>
                </w:p>
              </w:tc>
              <w:tc>
                <w:tcPr>
                  <w:tcW w:w="2411" w:type="dxa"/>
                  <w:tcBorders>
                    <w:tl2br w:val="nil"/>
                    <w:tr2bl w:val="nil"/>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总量核定结果（t/a）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restart"/>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废水</w:t>
                  </w: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废水总量</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w:t>
                  </w:r>
                </w:p>
              </w:tc>
              <w:tc>
                <w:tcPr>
                  <w:tcW w:w="2411"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continue"/>
                  <w:tcBorders>
                    <w:tl2br w:val="nil"/>
                    <w:tr2bl w:val="nil"/>
                  </w:tcBorders>
                  <w:vAlign w:val="center"/>
                </w:tcPr>
                <w:p>
                  <w:pPr>
                    <w:jc w:val="center"/>
                    <w:rPr>
                      <w:rFonts w:ascii="宋体" w:hAnsi="宋体" w:cs="宋体"/>
                      <w:color w:val="000000" w:themeColor="text1"/>
                      <w:szCs w:val="21"/>
                    </w:rPr>
                  </w:pP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CODcr</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36</w:t>
                  </w:r>
                </w:p>
              </w:tc>
              <w:tc>
                <w:tcPr>
                  <w:tcW w:w="24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0.0259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continue"/>
                  <w:tcBorders>
                    <w:tl2br w:val="nil"/>
                    <w:tr2bl w:val="nil"/>
                  </w:tcBorders>
                  <w:vAlign w:val="center"/>
                </w:tcPr>
                <w:p>
                  <w:pPr>
                    <w:jc w:val="center"/>
                    <w:rPr>
                      <w:rFonts w:ascii="宋体" w:hAnsi="宋体" w:cs="宋体"/>
                      <w:color w:val="000000" w:themeColor="text1"/>
                      <w:szCs w:val="21"/>
                    </w:rPr>
                  </w:pP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SS</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10</w:t>
                  </w:r>
                </w:p>
              </w:tc>
              <w:tc>
                <w:tcPr>
                  <w:tcW w:w="24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continue"/>
                  <w:tcBorders>
                    <w:tl2br w:val="nil"/>
                    <w:tr2bl w:val="nil"/>
                  </w:tcBorders>
                  <w:vAlign w:val="center"/>
                </w:tcPr>
                <w:p>
                  <w:pPr>
                    <w:jc w:val="center"/>
                    <w:rPr>
                      <w:rFonts w:ascii="宋体" w:hAnsi="宋体" w:cs="宋体"/>
                      <w:color w:val="000000" w:themeColor="text1"/>
                      <w:szCs w:val="21"/>
                    </w:rPr>
                  </w:pP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氨氮</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13.2</w:t>
                  </w:r>
                </w:p>
              </w:tc>
              <w:tc>
                <w:tcPr>
                  <w:tcW w:w="24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continue"/>
                  <w:tcBorders>
                    <w:tl2br w:val="nil"/>
                    <w:tr2bl w:val="nil"/>
                  </w:tcBorders>
                  <w:vAlign w:val="center"/>
                </w:tcPr>
                <w:p>
                  <w:pPr>
                    <w:jc w:val="center"/>
                    <w:rPr>
                      <w:rFonts w:ascii="宋体" w:hAnsi="宋体" w:cs="宋体"/>
                      <w:color w:val="000000" w:themeColor="text1"/>
                      <w:szCs w:val="21"/>
                    </w:rPr>
                  </w:pP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总磷</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0.95</w:t>
                  </w:r>
                </w:p>
              </w:tc>
              <w:tc>
                <w:tcPr>
                  <w:tcW w:w="24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68" w:type="dxa"/>
                  <w:vMerge w:val="continue"/>
                  <w:tcBorders>
                    <w:tl2br w:val="nil"/>
                    <w:tr2bl w:val="nil"/>
                  </w:tcBorders>
                  <w:vAlign w:val="center"/>
                </w:tcPr>
                <w:p>
                  <w:pPr>
                    <w:jc w:val="center"/>
                    <w:rPr>
                      <w:rFonts w:ascii="宋体" w:hAnsi="宋体" w:cs="宋体"/>
                      <w:color w:val="000000" w:themeColor="text1"/>
                      <w:szCs w:val="21"/>
                    </w:rPr>
                  </w:pPr>
                </w:p>
              </w:tc>
              <w:tc>
                <w:tcPr>
                  <w:tcW w:w="2570"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动植物油</w:t>
                  </w:r>
                </w:p>
              </w:tc>
              <w:tc>
                <w:tcPr>
                  <w:tcW w:w="2322" w:type="dxa"/>
                  <w:tcBorders>
                    <w:tl2br w:val="nil"/>
                    <w:tr2bl w:val="nil"/>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0.19</w:t>
                  </w:r>
                </w:p>
              </w:tc>
              <w:tc>
                <w:tcPr>
                  <w:tcW w:w="2411" w:type="dxa"/>
                  <w:tcBorders>
                    <w:tl2br w:val="nil"/>
                    <w:tr2bl w:val="nil"/>
                  </w:tcBorders>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szCs w:val="21"/>
                    </w:rPr>
                    <w:t>0.0001</w:t>
                  </w:r>
                </w:p>
              </w:tc>
            </w:tr>
          </w:tbl>
          <w:p>
            <w:pPr>
              <w:rPr>
                <w:color w:val="000000" w:themeColor="text1"/>
                <w:sz w:val="18"/>
                <w:szCs w:val="18"/>
              </w:rPr>
            </w:pPr>
            <w:r>
              <w:rPr>
                <w:rFonts w:hint="eastAsia"/>
                <w:color w:val="000000" w:themeColor="text1"/>
                <w:sz w:val="18"/>
                <w:szCs w:val="18"/>
              </w:rPr>
              <w:t>注：废水排放量由企业提供。</w:t>
            </w:r>
          </w:p>
          <w:p>
            <w:pPr>
              <w:rPr>
                <w:color w:val="000000" w:themeColor="text1"/>
                <w:sz w:val="18"/>
                <w:szCs w:val="18"/>
              </w:rPr>
            </w:pPr>
          </w:p>
        </w:tc>
      </w:tr>
    </w:tbl>
    <w:p>
      <w:pPr>
        <w:outlineLvl w:val="0"/>
        <w:rPr>
          <w:b/>
          <w:color w:val="000000" w:themeColor="text1"/>
          <w:sz w:val="28"/>
          <w:szCs w:val="28"/>
        </w:rPr>
      </w:pPr>
      <w:bookmarkStart w:id="190" w:name="_Toc17056_WPSOffice_Level1"/>
      <w:bookmarkStart w:id="191" w:name="_Toc15114"/>
      <w:bookmarkStart w:id="192" w:name="_Toc6440"/>
      <w:bookmarkStart w:id="193" w:name="_Toc16996"/>
      <w:bookmarkStart w:id="194" w:name="_Toc10840"/>
      <w:bookmarkStart w:id="195" w:name="_Toc896"/>
      <w:bookmarkStart w:id="196" w:name="_Toc634"/>
      <w:bookmarkStart w:id="197" w:name="_Toc16597"/>
      <w:bookmarkStart w:id="198" w:name="_Toc13630"/>
      <w:bookmarkStart w:id="199" w:name="_Toc13327"/>
      <w:bookmarkStart w:id="200" w:name="_Toc26102"/>
      <w:r>
        <w:rPr>
          <w:rFonts w:hint="eastAsia"/>
          <w:b/>
          <w:color w:val="000000" w:themeColor="text1"/>
          <w:sz w:val="28"/>
          <w:szCs w:val="28"/>
        </w:rPr>
        <w:t>表八 环保检查结果</w:t>
      </w:r>
      <w:bookmarkEnd w:id="190"/>
      <w:bookmarkEnd w:id="191"/>
      <w:bookmarkEnd w:id="192"/>
      <w:bookmarkEnd w:id="193"/>
      <w:bookmarkEnd w:id="194"/>
      <w:bookmarkEnd w:id="195"/>
      <w:bookmarkEnd w:id="196"/>
      <w:bookmarkEnd w:id="197"/>
      <w:bookmarkEnd w:id="198"/>
      <w:bookmarkEnd w:id="199"/>
      <w:bookmarkEnd w:id="200"/>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9354" w:type="dxa"/>
            <w:tcBorders>
              <w:top w:val="single" w:color="auto" w:sz="4" w:space="0"/>
            </w:tcBorders>
          </w:tcPr>
          <w:p>
            <w:pPr>
              <w:rPr>
                <w:rFonts w:ascii="宋体" w:hAnsi="宋体" w:cs="宋体"/>
                <w:color w:val="000000" w:themeColor="text1"/>
                <w:sz w:val="24"/>
              </w:rPr>
            </w:pPr>
            <w:r>
              <w:rPr>
                <w:rFonts w:hint="eastAsia" w:ascii="宋体" w:hAnsi="宋体" w:cs="宋体"/>
                <w:b/>
                <w:bCs/>
                <w:color w:val="000000" w:themeColor="text1"/>
                <w:sz w:val="24"/>
              </w:rPr>
              <w:t>“三同时”执行情况：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45" w:hRule="atLeast"/>
          <w:jc w:val="center"/>
        </w:trPr>
        <w:tc>
          <w:tcPr>
            <w:tcW w:w="9354" w:type="dxa"/>
            <w:tcBorders>
              <w:bottom w:val="single" w:color="auto" w:sz="4" w:space="0"/>
            </w:tcBorders>
          </w:tcPr>
          <w:p>
            <w:pPr>
              <w:ind w:firstLine="480" w:firstLineChars="200"/>
              <w:rPr>
                <w:rFonts w:ascii="宋体" w:hAnsi="宋体" w:cs="宋体"/>
                <w:color w:val="000000" w:themeColor="text1"/>
                <w:sz w:val="24"/>
              </w:rPr>
            </w:pPr>
            <w:r>
              <w:rPr>
                <w:rFonts w:hint="eastAsia" w:ascii="宋体" w:hAnsi="宋体" w:cs="宋体"/>
                <w:color w:val="000000" w:themeColor="text1"/>
                <w:sz w:val="24"/>
              </w:rPr>
              <w:t>本项目已按国家有关建设项目环境管理法规要求，进行了环境影响评价，工程相应的环保设施与主体工程同时设计、同时施工、同时投入使用，基本符合“三同时”的要求。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20"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污染处理设施建设管理及运行情况：</w:t>
            </w:r>
          </w:p>
          <w:p>
            <w:pPr>
              <w:ind w:firstLine="480" w:firstLineChars="200"/>
              <w:rPr>
                <w:rFonts w:ascii="宋体" w:hAnsi="宋体" w:cs="宋体"/>
                <w:color w:val="auto"/>
                <w:sz w:val="24"/>
              </w:rPr>
            </w:pPr>
            <w:r>
              <w:rPr>
                <w:rFonts w:hint="eastAsia" w:ascii="宋体" w:hAnsi="宋体" w:cs="宋体"/>
                <w:color w:val="auto"/>
                <w:sz w:val="24"/>
              </w:rPr>
              <w:t>本项目经隔油隔渣池食堂废水与生活污水一并接入经济开发区污水管网至六合区污水处理厂深度处理；</w:t>
            </w:r>
          </w:p>
          <w:p>
            <w:pPr>
              <w:ind w:firstLine="480" w:firstLineChars="200"/>
              <w:jc w:val="left"/>
              <w:rPr>
                <w:rFonts w:ascii="宋体" w:hAnsi="宋体"/>
                <w:color w:val="000000" w:themeColor="text1"/>
                <w:sz w:val="24"/>
                <w:szCs w:val="22"/>
              </w:rPr>
            </w:pPr>
            <w:r>
              <w:rPr>
                <w:rFonts w:hint="eastAsia" w:ascii="宋体" w:hAnsi="宋体"/>
                <w:color w:val="auto"/>
                <w:sz w:val="24"/>
                <w:szCs w:val="22"/>
              </w:rPr>
              <w:t>本项目食堂油烟经油烟净化器</w:t>
            </w:r>
            <w:r>
              <w:rPr>
                <w:rFonts w:hint="eastAsia" w:ascii="宋体" w:hAnsi="宋体"/>
                <w:color w:val="000000" w:themeColor="text1"/>
                <w:sz w:val="24"/>
                <w:szCs w:val="22"/>
              </w:rPr>
              <w:t xml:space="preserve">净化后对外排放；本项目焊接烟尘通过安装排风扇，减少焊接烟尘无组织排放； </w:t>
            </w:r>
          </w:p>
          <w:p>
            <w:pPr>
              <w:ind w:firstLine="480" w:firstLineChars="200"/>
              <w:jc w:val="left"/>
              <w:rPr>
                <w:rFonts w:ascii="宋体" w:hAnsi="宋体" w:cs="宋体"/>
                <w:bCs/>
                <w:color w:val="FF0000"/>
                <w:sz w:val="24"/>
              </w:rPr>
            </w:pPr>
            <w:r>
              <w:rPr>
                <w:rFonts w:hint="eastAsia" w:ascii="宋体" w:hAnsi="宋体" w:cs="宋体"/>
                <w:color w:val="000000" w:themeColor="text1"/>
                <w:kern w:val="28"/>
                <w:sz w:val="24"/>
              </w:rPr>
              <w:t>本项目通过选取低噪声设备、减震隔声等措施降噪。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25"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环保管理制度及人员责任分工：</w:t>
            </w:r>
          </w:p>
          <w:p>
            <w:pPr>
              <w:ind w:firstLine="360" w:firstLineChars="150"/>
              <w:rPr>
                <w:rFonts w:ascii="宋体" w:hAnsi="宋体" w:cs="宋体"/>
                <w:color w:val="FF0000"/>
                <w:sz w:val="24"/>
              </w:rPr>
            </w:pPr>
            <w:r>
              <w:rPr>
                <w:rFonts w:hint="eastAsia" w:ascii="宋体" w:hAnsi="宋体" w:cs="宋体"/>
                <w:color w:val="000000" w:themeColor="text1"/>
                <w:sz w:val="24"/>
              </w:rPr>
              <w:t xml:space="preserve"> 该项目环保工作在项目运营后由企业后勤部门负责。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61"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排污口规范化、污染源在线监测仪的安装、测试情况检查：</w:t>
            </w:r>
          </w:p>
          <w:p>
            <w:pPr>
              <w:widowControl/>
              <w:jc w:val="left"/>
              <w:rPr>
                <w:rFonts w:ascii="宋体" w:hAnsi="宋体" w:cs="宋体"/>
                <w:color w:val="000000" w:themeColor="text1"/>
                <w:sz w:val="24"/>
              </w:rPr>
            </w:pPr>
            <w:r>
              <w:rPr>
                <w:rFonts w:hint="eastAsia" w:ascii="宋体" w:hAnsi="宋体" w:cs="宋体"/>
                <w:color w:val="000000" w:themeColor="text1"/>
                <w:sz w:val="24"/>
              </w:rPr>
              <w:t xml:space="preserve">    设有雨水废水</w:t>
            </w:r>
            <w:r>
              <w:rPr>
                <w:rFonts w:hint="eastAsia" w:ascii="宋体" w:hAnsi="宋体" w:cs="宋体"/>
                <w:color w:val="auto"/>
                <w:sz w:val="24"/>
              </w:rPr>
              <w:t>排口各1个，油烟排口1个，排口无标识牌，无</w:t>
            </w:r>
            <w:r>
              <w:rPr>
                <w:rFonts w:hint="eastAsia" w:ascii="宋体" w:hAnsi="宋体" w:cs="宋体"/>
                <w:color w:val="000000" w:themeColor="text1"/>
                <w:sz w:val="24"/>
              </w:rPr>
              <w:t>在线监测设备。</w:t>
            </w:r>
          </w:p>
          <w:p>
            <w:pPr>
              <w:rPr>
                <w:rFonts w:ascii="宋体" w:hAnsi="宋体" w:cs="宋体"/>
                <w:color w:val="000000" w:themeColor="text1"/>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18"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试运行期扰民情况：</w:t>
            </w:r>
          </w:p>
          <w:p>
            <w:pPr>
              <w:rPr>
                <w:rFonts w:ascii="宋体" w:hAnsi="宋体" w:cs="宋体"/>
                <w:color w:val="000000" w:themeColor="text1"/>
                <w:sz w:val="24"/>
              </w:rPr>
            </w:pPr>
            <w:r>
              <w:rPr>
                <w:rFonts w:hint="eastAsia" w:ascii="宋体" w:hAnsi="宋体" w:cs="宋体"/>
                <w:color w:val="000000" w:themeColor="text1"/>
                <w:sz w:val="24"/>
              </w:rPr>
              <w:t xml:space="preserve">    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79"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其它（根据行业特点，开展清洁生产情况，生态保护措施等特殊内容）：</w:t>
            </w:r>
          </w:p>
          <w:p>
            <w:pPr>
              <w:ind w:firstLine="480" w:firstLineChars="200"/>
              <w:rPr>
                <w:rFonts w:ascii="宋体" w:hAnsi="宋体" w:cs="宋体"/>
                <w:color w:val="000000" w:themeColor="text1"/>
                <w:sz w:val="24"/>
              </w:rPr>
            </w:pPr>
            <w:r>
              <w:rPr>
                <w:rFonts w:hint="eastAsia" w:ascii="宋体" w:hAnsi="宋体" w:cs="宋体"/>
                <w:color w:val="000000" w:themeColor="text1"/>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71" w:hRule="atLeast"/>
          <w:jc w:val="center"/>
        </w:trPr>
        <w:tc>
          <w:tcPr>
            <w:tcW w:w="9354" w:type="dxa"/>
            <w:tcBorders>
              <w:top w:val="single" w:color="auto" w:sz="4" w:space="0"/>
            </w:tcBorders>
          </w:tcPr>
          <w:p>
            <w:pPr>
              <w:rPr>
                <w:rFonts w:ascii="宋体" w:hAnsi="宋体" w:cs="宋体"/>
                <w:b/>
                <w:bCs/>
                <w:color w:val="000000" w:themeColor="text1"/>
                <w:sz w:val="24"/>
              </w:rPr>
            </w:pPr>
            <w:r>
              <w:rPr>
                <w:rFonts w:hint="eastAsia" w:ascii="宋体" w:hAnsi="宋体" w:cs="宋体"/>
                <w:b/>
                <w:bCs/>
                <w:color w:val="000000" w:themeColor="text1"/>
                <w:sz w:val="24"/>
              </w:rPr>
              <w:t>存在的问题及整改要求：</w:t>
            </w:r>
          </w:p>
          <w:p>
            <w:pPr>
              <w:ind w:firstLine="480" w:firstLineChars="200"/>
              <w:rPr>
                <w:rFonts w:ascii="宋体" w:hAnsi="宋体" w:cs="宋体"/>
                <w:color w:val="000000" w:themeColor="text1"/>
                <w:sz w:val="24"/>
              </w:rPr>
            </w:pPr>
            <w:r>
              <w:rPr>
                <w:rFonts w:hint="eastAsia" w:ascii="宋体" w:hAnsi="宋体" w:cs="宋体"/>
                <w:color w:val="000000" w:themeColor="text1"/>
                <w:sz w:val="24"/>
              </w:rPr>
              <w:t>无。</w:t>
            </w:r>
          </w:p>
          <w:p>
            <w:pPr>
              <w:ind w:firstLine="480" w:firstLineChars="200"/>
              <w:rPr>
                <w:rFonts w:ascii="宋体" w:hAnsi="宋体" w:cs="宋体"/>
                <w:color w:val="000000" w:themeColor="text1"/>
                <w:sz w:val="24"/>
              </w:rPr>
            </w:pPr>
          </w:p>
          <w:p>
            <w:pPr>
              <w:rPr>
                <w:rFonts w:ascii="宋体" w:hAnsi="宋体" w:cs="宋体"/>
                <w:color w:val="000000" w:themeColor="text1"/>
                <w:sz w:val="24"/>
              </w:rPr>
            </w:pPr>
          </w:p>
          <w:p>
            <w:pPr>
              <w:rPr>
                <w:rFonts w:ascii="宋体" w:hAnsi="宋体" w:cs="宋体"/>
                <w:color w:val="000000" w:themeColor="text1"/>
                <w:sz w:val="24"/>
              </w:rPr>
            </w:pPr>
          </w:p>
          <w:p>
            <w:pPr>
              <w:rPr>
                <w:rFonts w:ascii="宋体" w:hAnsi="宋体" w:cs="宋体"/>
                <w:color w:val="000000" w:themeColor="text1"/>
                <w:sz w:val="24"/>
              </w:rPr>
            </w:pPr>
          </w:p>
          <w:p>
            <w:pPr>
              <w:rPr>
                <w:rFonts w:ascii="宋体" w:hAnsi="宋体" w:cs="宋体"/>
                <w:color w:val="000000" w:themeColor="text1"/>
                <w:sz w:val="24"/>
              </w:rPr>
            </w:pPr>
          </w:p>
        </w:tc>
      </w:tr>
    </w:tbl>
    <w:p>
      <w:pPr>
        <w:rPr>
          <w:b/>
          <w:color w:val="FF0000"/>
          <w:sz w:val="28"/>
          <w:szCs w:val="28"/>
        </w:rPr>
      </w:pPr>
      <w:bookmarkStart w:id="201" w:name="_Toc3306"/>
      <w:bookmarkStart w:id="202" w:name="_Toc32481_WPSOffice_Level1"/>
      <w:bookmarkStart w:id="203" w:name="_Toc24685"/>
      <w:bookmarkStart w:id="204" w:name="_Toc22622"/>
      <w:bookmarkStart w:id="205" w:name="_Toc5449"/>
      <w:bookmarkStart w:id="206" w:name="_Toc23252"/>
      <w:bookmarkStart w:id="207" w:name="_Toc3364"/>
      <w:bookmarkStart w:id="208" w:name="_Toc23298"/>
      <w:bookmarkStart w:id="209" w:name="_Toc29429"/>
      <w:bookmarkStart w:id="210" w:name="_Toc14055"/>
      <w:bookmarkStart w:id="211" w:name="_Toc9726"/>
    </w:p>
    <w:p>
      <w:pPr>
        <w:outlineLvl w:val="0"/>
        <w:rPr>
          <w:b/>
          <w:color w:val="000000" w:themeColor="text1"/>
          <w:sz w:val="28"/>
          <w:szCs w:val="28"/>
        </w:rPr>
      </w:pPr>
      <w:r>
        <w:rPr>
          <w:rFonts w:hint="eastAsia"/>
          <w:b/>
          <w:color w:val="000000" w:themeColor="text1"/>
          <w:sz w:val="28"/>
          <w:szCs w:val="28"/>
        </w:rPr>
        <w:t>表九  环评结论、环评审批意见及落实情况</w:t>
      </w:r>
      <w:bookmarkEnd w:id="201"/>
      <w:bookmarkEnd w:id="202"/>
      <w:bookmarkEnd w:id="203"/>
      <w:bookmarkEnd w:id="204"/>
      <w:bookmarkEnd w:id="205"/>
      <w:bookmarkEnd w:id="206"/>
      <w:bookmarkEnd w:id="207"/>
      <w:bookmarkEnd w:id="208"/>
      <w:bookmarkEnd w:id="209"/>
      <w:bookmarkEnd w:id="210"/>
      <w:bookmarkEnd w:id="211"/>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Borders>
              <w:bottom w:val="single" w:color="auto" w:sz="4" w:space="0"/>
            </w:tcBorders>
          </w:tcPr>
          <w:p>
            <w:pPr>
              <w:adjustRightInd w:val="0"/>
              <w:snapToGrid w:val="0"/>
              <w:spacing w:line="360" w:lineRule="auto"/>
              <w:jc w:val="center"/>
              <w:rPr>
                <w:rFonts w:ascii="宋体" w:hAnsi="宋体" w:cs="宋体"/>
                <w:b/>
                <w:bCs/>
                <w:color w:val="000000" w:themeColor="text1"/>
                <w:sz w:val="24"/>
              </w:rPr>
            </w:pPr>
            <w:r>
              <w:rPr>
                <w:rFonts w:hint="eastAsia" w:ascii="宋体" w:hAnsi="宋体" w:cs="宋体"/>
                <w:b/>
                <w:bCs/>
                <w:color w:val="000000" w:themeColor="text1"/>
                <w:sz w:val="24"/>
              </w:rPr>
              <w:t>表9-1环评批复落实情况</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304"/>
              <w:gridCol w:w="4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90" w:type="dxa"/>
                  <w:gridSpan w:val="2"/>
                  <w:vAlign w:val="center"/>
                </w:tcPr>
                <w:p>
                  <w:pPr>
                    <w:jc w:val="center"/>
                    <w:rPr>
                      <w:rFonts w:ascii="宋体" w:hAnsi="宋体" w:cs="宋体"/>
                      <w:b/>
                      <w:color w:val="000000" w:themeColor="text1"/>
                      <w:szCs w:val="21"/>
                    </w:rPr>
                  </w:pPr>
                  <w:r>
                    <w:rPr>
                      <w:rFonts w:hint="eastAsia" w:ascii="宋体" w:hAnsi="宋体" w:cs="宋体"/>
                      <w:b/>
                      <w:color w:val="000000" w:themeColor="text1"/>
                      <w:szCs w:val="21"/>
                    </w:rPr>
                    <w:t>环境影响批复要求</w:t>
                  </w:r>
                </w:p>
              </w:tc>
              <w:tc>
                <w:tcPr>
                  <w:tcW w:w="4281" w:type="dxa"/>
                  <w:vAlign w:val="center"/>
                </w:tcPr>
                <w:p>
                  <w:pPr>
                    <w:jc w:val="center"/>
                    <w:rPr>
                      <w:rFonts w:ascii="宋体" w:hAnsi="宋体" w:cs="宋体"/>
                      <w:b/>
                      <w:color w:val="000000" w:themeColor="text1"/>
                      <w:szCs w:val="21"/>
                    </w:rPr>
                  </w:pPr>
                  <w:r>
                    <w:rPr>
                      <w:rFonts w:hint="eastAsia" w:ascii="宋体" w:hAnsi="宋体" w:cs="宋体"/>
                      <w:b/>
                      <w:color w:val="000000" w:themeColor="text1"/>
                      <w:szCs w:val="21"/>
                    </w:rPr>
                    <w:t>批复落实情况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w:t>
                  </w:r>
                </w:p>
              </w:tc>
              <w:tc>
                <w:tcPr>
                  <w:tcW w:w="4304" w:type="dxa"/>
                  <w:vAlign w:val="center"/>
                </w:tcPr>
                <w:p>
                  <w:pPr>
                    <w:pStyle w:val="3"/>
                    <w:kinsoku w:val="0"/>
                    <w:overflowPunct w:val="0"/>
                    <w:ind w:firstLine="420" w:firstLineChars="200"/>
                    <w:jc w:val="distribute"/>
                    <w:rPr>
                      <w:rFonts w:ascii="宋体" w:hAnsi="宋体" w:cs="宋体"/>
                      <w:color w:val="000000" w:themeColor="text1"/>
                      <w:szCs w:val="21"/>
                    </w:rPr>
                  </w:pPr>
                  <w:r>
                    <w:rPr>
                      <w:rFonts w:hint="eastAsia" w:ascii="宋体" w:hAnsi="宋体" w:cs="宋体"/>
                      <w:color w:val="000000" w:themeColor="text1"/>
                      <w:szCs w:val="21"/>
                    </w:rPr>
                    <w:t>该项目地址位于六合经济开发区新港湾路以东、云海玻璃以西，占地面积29291平方米，总投资20000万元，建设厂房及附属设施为22461平方米，新上自承式轻质钢筋桁架楼承板（第五代）生产线项目。</w:t>
                  </w:r>
                </w:p>
              </w:tc>
              <w:tc>
                <w:tcPr>
                  <w:tcW w:w="4281" w:type="dxa"/>
                  <w:vAlign w:val="center"/>
                </w:tcPr>
                <w:p>
                  <w:pPr>
                    <w:pStyle w:val="3"/>
                    <w:kinsoku w:val="0"/>
                    <w:overflowPunct w:val="0"/>
                    <w:ind w:firstLine="420" w:firstLineChars="200"/>
                    <w:jc w:val="distribute"/>
                    <w:rPr>
                      <w:rFonts w:ascii="宋体" w:hAnsi="宋体" w:cs="宋体"/>
                      <w:color w:val="000000" w:themeColor="text1"/>
                      <w:szCs w:val="21"/>
                    </w:rPr>
                  </w:pPr>
                  <w:r>
                    <w:rPr>
                      <w:rFonts w:hint="eastAsia" w:ascii="宋体" w:hAnsi="宋体" w:cs="宋体"/>
                      <w:color w:val="000000" w:themeColor="text1"/>
                      <w:szCs w:val="21"/>
                    </w:rPr>
                    <w:t>该项目地址位于六合经济开发区新港湾路以东、云海玻璃以西，占地面积29291平方米，总投资1500万元，建设厂房及附属设施为22461平方米，新上自承式轻质钢筋桁架楼承板（第五代）生产线项目。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2</w:t>
                  </w:r>
                </w:p>
              </w:tc>
              <w:tc>
                <w:tcPr>
                  <w:tcW w:w="4304"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厂区排水实行雨污分流，分别设雨污水排口各一个。雨水排入六合经济开发区雨水管网；隔油隔渣后食堂废水和生活污水达《污水综合排放标准》（GB8978-1996）表4中三级标准，其中氨氮、总磷参照执行《污水排入城镇下水道水质标准》（CJ343-2010）中B等级标准后排入经济开发区污水管网至六合区污水处理厂深度处理。</w:t>
                  </w:r>
                </w:p>
              </w:tc>
              <w:tc>
                <w:tcPr>
                  <w:tcW w:w="4281"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厂区排水实行雨污分流，分别设雨污水排口各一个。雨水排入六合经济开发区雨水管网；隔油隔渣后食堂废水和生活污水达《污水综合排放标准》（GB8978-1996）表4中三级标准，其中氨氮、总磷达《污水排入城镇下水道水质标准》（CJ343-2010）中B等级标准后排入经济开发区污水管网至六合区污水处理厂深度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3</w:t>
                  </w:r>
                </w:p>
              </w:tc>
              <w:tc>
                <w:tcPr>
                  <w:tcW w:w="4304"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通过安装排风扇，加强车间通风等措施，减少焊接烟尘无组织排放，切割金属粉尘自然沉降后及时清扫，废气执行《大气污染物综合排放标准》（GB16297-1996）表2中无组织排放监控浓度限值。</w:t>
                  </w:r>
                </w:p>
              </w:tc>
              <w:tc>
                <w:tcPr>
                  <w:tcW w:w="4281"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通过安装排风扇，加强车间通风等措施，减少焊接烟尘无组织排放，切割金属粉尘自然沉降后及时清扫，无组织颗粒物废气达到《大气污染物综合排放标准》（GB16297-1996）表2中无组织排放监控浓度限值。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4</w:t>
                  </w:r>
                </w:p>
              </w:tc>
              <w:tc>
                <w:tcPr>
                  <w:tcW w:w="4304"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优先选用低噪声设备，各噪声源需落实减振隔声等降噪措施，同时合理布局噪声设备的位置，厂界噪声执行《工业企业厂界噪声排放标准》（GB12348-2008）中2类标准。</w:t>
                  </w:r>
                </w:p>
              </w:tc>
              <w:tc>
                <w:tcPr>
                  <w:tcW w:w="4281"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选用低噪声设备，采取减震隔声措施，厂界噪声达到《工业企业厂界噪声排放标准》（GB12348-2008）中2类标准。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5</w:t>
                  </w:r>
                </w:p>
              </w:tc>
              <w:tc>
                <w:tcPr>
                  <w:tcW w:w="4304"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落实固体废物分类收集、综合利用和安全处置措施。边角料、收集粉尘、废焊条综合利用；废机油、废油手套等危险废物应按要求分类收集、规范存贮，落实“防扬散、防流失、防渗漏”措施，并交由有资质单位处置，办理危险废物转移手续；生活垃圾等经收集后由环卫部门统一处理。</w:t>
                  </w:r>
                </w:p>
              </w:tc>
              <w:tc>
                <w:tcPr>
                  <w:tcW w:w="4281" w:type="dxa"/>
                  <w:vAlign w:val="center"/>
                </w:tcPr>
                <w:p>
                  <w:pPr>
                    <w:pStyle w:val="3"/>
                    <w:kinsoku w:val="0"/>
                    <w:overflowPunct w:val="0"/>
                    <w:ind w:right="98" w:firstLine="420" w:firstLineChars="200"/>
                    <w:jc w:val="left"/>
                    <w:rPr>
                      <w:rFonts w:ascii="宋体" w:hAnsi="宋体" w:cs="宋体"/>
                      <w:color w:val="FF0000"/>
                      <w:szCs w:val="21"/>
                    </w:rPr>
                  </w:pPr>
                  <w:r>
                    <w:rPr>
                      <w:rFonts w:hint="eastAsia" w:ascii="宋体" w:hAnsi="宋体" w:cs="宋体"/>
                      <w:color w:val="000000" w:themeColor="text1"/>
                      <w:szCs w:val="21"/>
                    </w:rPr>
                    <w:t>已落实固体废物分类收集、综合利用和安全处置措施。边角料、收集粉尘、废焊条综合利用；废机油危险废物暂存危废仓库；生活垃圾、废油手套等经收集后由环卫部门统一处理。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6</w:t>
                  </w:r>
                </w:p>
              </w:tc>
              <w:tc>
                <w:tcPr>
                  <w:tcW w:w="4304"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水污染物排放口应设置便于采样的监测点和排污口标志，并按要求进行规范化设置。</w:t>
                  </w:r>
                </w:p>
              </w:tc>
              <w:tc>
                <w:tcPr>
                  <w:tcW w:w="4281"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水污染物排放口已设置便于采样的监测点，排污口无标志。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6"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7</w:t>
                  </w:r>
                </w:p>
              </w:tc>
              <w:tc>
                <w:tcPr>
                  <w:tcW w:w="4304"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落实环评报告中提出的施工期环境保护措施，防止施工期扬尘和噪声对周围环境造成不利影响。</w:t>
                  </w:r>
                </w:p>
              </w:tc>
              <w:tc>
                <w:tcPr>
                  <w:tcW w:w="4281" w:type="dxa"/>
                  <w:vAlign w:val="center"/>
                </w:tcPr>
                <w:p>
                  <w:pPr>
                    <w:ind w:firstLine="420" w:firstLineChars="200"/>
                    <w:rPr>
                      <w:rFonts w:ascii="宋体" w:hAnsi="宋体" w:cs="宋体"/>
                      <w:bCs/>
                      <w:color w:val="000000" w:themeColor="text1"/>
                      <w:szCs w:val="21"/>
                    </w:rPr>
                  </w:pPr>
                  <w:r>
                    <w:rPr>
                      <w:rFonts w:hint="eastAsia" w:ascii="宋体" w:hAnsi="宋体" w:cs="宋体"/>
                      <w:bCs/>
                      <w:color w:val="000000" w:themeColor="text1"/>
                      <w:szCs w:val="21"/>
                    </w:rPr>
                    <w:t>已落实环评报告中提出的施工期环境保护措施，施工期间由六合区监察大队监管。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8</w:t>
                  </w:r>
                </w:p>
              </w:tc>
              <w:tc>
                <w:tcPr>
                  <w:tcW w:w="4304"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根据环评报告，该项目防腐喷漆工序委外加工。</w:t>
                  </w:r>
                </w:p>
              </w:tc>
              <w:tc>
                <w:tcPr>
                  <w:tcW w:w="4281" w:type="dxa"/>
                  <w:vAlign w:val="center"/>
                </w:tcPr>
                <w:p>
                  <w:pPr>
                    <w:pStyle w:val="3"/>
                    <w:kinsoku w:val="0"/>
                    <w:overflowPunct w:val="0"/>
                    <w:ind w:right="98" w:firstLine="420" w:firstLineChars="200"/>
                    <w:jc w:val="left"/>
                    <w:rPr>
                      <w:rFonts w:ascii="宋体" w:hAnsi="宋体" w:cs="宋体"/>
                      <w:color w:val="000000" w:themeColor="text1"/>
                      <w:szCs w:val="21"/>
                    </w:rPr>
                  </w:pPr>
                  <w:r>
                    <w:rPr>
                      <w:rFonts w:hint="eastAsia" w:ascii="宋体" w:hAnsi="宋体" w:cs="宋体"/>
                      <w:color w:val="000000" w:themeColor="text1"/>
                      <w:szCs w:val="21"/>
                    </w:rPr>
                    <w:t>该项目防腐喷漆工序已委外加工。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9</w:t>
                  </w:r>
                </w:p>
              </w:tc>
              <w:tc>
                <w:tcPr>
                  <w:tcW w:w="4304" w:type="dxa"/>
                  <w:vAlign w:val="center"/>
                </w:tcPr>
                <w:p>
                  <w:pPr>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项目建成后，污染物排放控制指标为：废水量3360t/a，废水实行浓度控制。</w:t>
                  </w:r>
                </w:p>
              </w:tc>
              <w:tc>
                <w:tcPr>
                  <w:tcW w:w="4281" w:type="dxa"/>
                  <w:vAlign w:val="center"/>
                </w:tcPr>
                <w:p>
                  <w:pPr>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污染物排放控制指标为：废水量720t/a，废水浓度均达标排放。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 w:type="dxa"/>
                  <w:vAlign w:val="center"/>
                </w:tcPr>
                <w:p>
                  <w:pPr>
                    <w:spacing w:line="440" w:lineRule="exact"/>
                    <w:jc w:val="center"/>
                    <w:rPr>
                      <w:rFonts w:ascii="宋体" w:hAnsi="宋体" w:cs="宋体"/>
                      <w:color w:val="000000" w:themeColor="text1"/>
                      <w:szCs w:val="21"/>
                    </w:rPr>
                  </w:pPr>
                  <w:r>
                    <w:rPr>
                      <w:rFonts w:hint="eastAsia" w:ascii="宋体" w:hAnsi="宋体" w:cs="宋体"/>
                      <w:color w:val="000000" w:themeColor="text1"/>
                      <w:szCs w:val="21"/>
                    </w:rPr>
                    <w:t>10</w:t>
                  </w:r>
                </w:p>
              </w:tc>
              <w:tc>
                <w:tcPr>
                  <w:tcW w:w="4304" w:type="dxa"/>
                  <w:vAlign w:val="center"/>
                </w:tcPr>
                <w:p>
                  <w:pPr>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项目建设须严格执行配套建设的环境保护设施与主体工程同时设计、同时施工、同时投产使用的环境保护“三同时”制度。项目竣工后，须到环保局办理试生产核准手续，并在试生产三个月内完成验收监测及环保专项验收工作，项目验收合格后方可投入正式生产。</w:t>
                  </w:r>
                </w:p>
              </w:tc>
              <w:tc>
                <w:tcPr>
                  <w:tcW w:w="4281" w:type="dxa"/>
                  <w:vAlign w:val="center"/>
                </w:tcPr>
                <w:p>
                  <w:pPr>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项目建设严格执行配套建设的环境保护设施与主体工程同时设计、同时施工、同时投产使用的环境保护“三同时”制度。</w:t>
                  </w:r>
                </w:p>
              </w:tc>
            </w:tr>
          </w:tbl>
          <w:p>
            <w:pPr>
              <w:jc w:val="left"/>
              <w:rPr>
                <w:color w:val="FF0000"/>
                <w:sz w:val="24"/>
              </w:rPr>
            </w:pPr>
          </w:p>
        </w:tc>
      </w:tr>
    </w:tbl>
    <w:p>
      <w:pPr>
        <w:outlineLvl w:val="0"/>
        <w:rPr>
          <w:b/>
          <w:color w:val="000000" w:themeColor="text1"/>
          <w:sz w:val="28"/>
          <w:szCs w:val="28"/>
        </w:rPr>
      </w:pPr>
      <w:bookmarkStart w:id="212" w:name="_Toc20184"/>
      <w:bookmarkStart w:id="213" w:name="_Toc32294"/>
      <w:bookmarkStart w:id="214" w:name="_Toc9857"/>
      <w:bookmarkStart w:id="215" w:name="_Toc20440"/>
      <w:bookmarkStart w:id="216" w:name="_Toc1549"/>
      <w:bookmarkStart w:id="217" w:name="_Toc1466"/>
      <w:bookmarkStart w:id="218" w:name="_Toc24952"/>
      <w:bookmarkStart w:id="219" w:name="_Toc6760"/>
      <w:bookmarkStart w:id="220" w:name="_Toc28994"/>
      <w:bookmarkStart w:id="221" w:name="_Toc15892_WPSOffice_Level1"/>
      <w:bookmarkStart w:id="222" w:name="_Toc26839"/>
      <w:r>
        <w:rPr>
          <w:rFonts w:hint="eastAsia"/>
          <w:b/>
          <w:color w:val="000000" w:themeColor="text1"/>
          <w:sz w:val="28"/>
          <w:szCs w:val="28"/>
        </w:rPr>
        <w:t>续表九</w:t>
      </w:r>
    </w:p>
    <w:tbl>
      <w:tblPr>
        <w:tblStyle w:val="13"/>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adjustRightInd w:val="0"/>
              <w:snapToGrid w:val="0"/>
              <w:spacing w:line="360" w:lineRule="auto"/>
              <w:jc w:val="center"/>
              <w:rPr>
                <w:rFonts w:ascii="宋体" w:hAnsi="宋体" w:cs="宋体"/>
                <w:b/>
                <w:bCs/>
                <w:color w:val="000000" w:themeColor="text1"/>
                <w:sz w:val="24"/>
              </w:rPr>
            </w:pPr>
            <w:r>
              <w:rPr>
                <w:rFonts w:hint="eastAsia" w:ascii="宋体" w:hAnsi="宋体" w:cs="宋体"/>
                <w:b/>
                <w:bCs/>
                <w:color w:val="000000" w:themeColor="text1"/>
                <w:sz w:val="24"/>
              </w:rPr>
              <w:t>续表9-1环评批复落实情况</w:t>
            </w:r>
          </w:p>
          <w:tbl>
            <w:tblPr>
              <w:tblStyle w:val="13"/>
              <w:tblW w:w="88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4489"/>
              <w:gridCol w:w="3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14" w:type="dxa"/>
                  <w:tcBorders>
                    <w:tl2br w:val="nil"/>
                    <w:tr2bl w:val="nil"/>
                  </w:tcBorders>
                  <w:vAlign w:val="center"/>
                </w:tcPr>
                <w:p>
                  <w:pPr>
                    <w:jc w:val="center"/>
                    <w:rPr>
                      <w:b/>
                      <w:color w:val="FF0000"/>
                      <w:sz w:val="28"/>
                      <w:szCs w:val="28"/>
                    </w:rPr>
                  </w:pPr>
                </w:p>
              </w:tc>
              <w:tc>
                <w:tcPr>
                  <w:tcW w:w="4489" w:type="dxa"/>
                  <w:tcBorders>
                    <w:tl2br w:val="nil"/>
                    <w:tr2bl w:val="nil"/>
                  </w:tcBorders>
                  <w:vAlign w:val="center"/>
                </w:tcPr>
                <w:p>
                  <w:pPr>
                    <w:jc w:val="center"/>
                    <w:rPr>
                      <w:b/>
                      <w:color w:val="FF0000"/>
                      <w:sz w:val="28"/>
                      <w:szCs w:val="28"/>
                    </w:rPr>
                  </w:pPr>
                  <w:r>
                    <w:rPr>
                      <w:rFonts w:hint="eastAsia" w:ascii="宋体" w:hAnsi="宋体" w:cs="宋体"/>
                      <w:b/>
                      <w:color w:val="000000" w:themeColor="text1"/>
                      <w:szCs w:val="21"/>
                    </w:rPr>
                    <w:t>环境影响批复要求</w:t>
                  </w:r>
                </w:p>
              </w:tc>
              <w:tc>
                <w:tcPr>
                  <w:tcW w:w="3822" w:type="dxa"/>
                  <w:tcBorders>
                    <w:tl2br w:val="nil"/>
                    <w:tr2bl w:val="nil"/>
                  </w:tcBorders>
                  <w:vAlign w:val="center"/>
                </w:tcPr>
                <w:p>
                  <w:pPr>
                    <w:jc w:val="center"/>
                    <w:rPr>
                      <w:rFonts w:ascii="宋体" w:hAnsi="宋体" w:cs="宋体"/>
                      <w:b/>
                      <w:color w:val="000000" w:themeColor="text1"/>
                      <w:szCs w:val="21"/>
                    </w:rPr>
                  </w:pPr>
                  <w:r>
                    <w:rPr>
                      <w:rFonts w:hint="eastAsia" w:ascii="宋体" w:hAnsi="宋体" w:cs="宋体"/>
                      <w:b/>
                      <w:color w:val="000000" w:themeColor="text1"/>
                      <w:szCs w:val="21"/>
                    </w:rPr>
                    <w:t>批复落实情况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14" w:type="dxa"/>
                  <w:tcBorders>
                    <w:tl2br w:val="nil"/>
                    <w:tr2bl w:val="nil"/>
                  </w:tcBorders>
                </w:tcPr>
                <w:p>
                  <w:pPr>
                    <w:ind w:firstLine="562" w:firstLineChars="200"/>
                    <w:jc w:val="left"/>
                    <w:rPr>
                      <w:b/>
                      <w:color w:val="FF0000"/>
                      <w:sz w:val="28"/>
                      <w:szCs w:val="28"/>
                    </w:rPr>
                  </w:pPr>
                  <w:r>
                    <w:rPr>
                      <w:rFonts w:hint="eastAsia"/>
                      <w:b/>
                      <w:color w:val="FF0000"/>
                      <w:sz w:val="28"/>
                      <w:szCs w:val="28"/>
                    </w:rPr>
                    <w:t>1</w:t>
                  </w:r>
                  <w:r>
                    <w:rPr>
                      <w:rFonts w:hint="eastAsia" w:ascii="宋体" w:hAnsi="宋体" w:cs="宋体"/>
                      <w:color w:val="000000" w:themeColor="text1"/>
                      <w:szCs w:val="21"/>
                    </w:rPr>
                    <w:t>11</w:t>
                  </w:r>
                </w:p>
              </w:tc>
              <w:tc>
                <w:tcPr>
                  <w:tcW w:w="4489" w:type="dxa"/>
                  <w:tcBorders>
                    <w:tl2br w:val="nil"/>
                    <w:tr2bl w:val="nil"/>
                  </w:tcBorders>
                </w:tcPr>
                <w:p>
                  <w:pPr>
                    <w:ind w:firstLine="420" w:firstLineChars="200"/>
                    <w:outlineLvl w:val="0"/>
                    <w:rPr>
                      <w:b/>
                      <w:color w:val="FF0000"/>
                      <w:sz w:val="28"/>
                      <w:szCs w:val="28"/>
                    </w:rPr>
                  </w:pPr>
                  <w:r>
                    <w:rPr>
                      <w:rFonts w:hint="eastAsia" w:ascii="宋体" w:hAnsi="宋体" w:cs="宋体"/>
                      <w:color w:val="000000" w:themeColor="text1"/>
                      <w:szCs w:val="21"/>
                    </w:rPr>
                    <w:t>本批复自下达之日起，项目的性质、规模、地点、采用的生产工艺或者防治污染、防止生态破坏的措施发生重大变动的，或五年后方开工建设的，应当重新报批项目的环境影响评价文件。</w:t>
                  </w:r>
                </w:p>
              </w:tc>
              <w:tc>
                <w:tcPr>
                  <w:tcW w:w="3822" w:type="dxa"/>
                  <w:tcBorders>
                    <w:tl2br w:val="nil"/>
                    <w:tr2bl w:val="nil"/>
                  </w:tcBorders>
                </w:tcPr>
                <w:p>
                  <w:pPr>
                    <w:ind w:firstLine="420" w:firstLineChars="200"/>
                    <w:outlineLvl w:val="0"/>
                    <w:rPr>
                      <w:b/>
                      <w:color w:val="FF0000"/>
                      <w:sz w:val="28"/>
                      <w:szCs w:val="28"/>
                    </w:rPr>
                  </w:pPr>
                  <w:r>
                    <w:rPr>
                      <w:rFonts w:hint="eastAsia" w:ascii="宋体" w:hAnsi="宋体" w:cs="宋体"/>
                      <w:color w:val="000000" w:themeColor="text1"/>
                      <w:szCs w:val="21"/>
                    </w:rPr>
                    <w:t>项目的性质、规模、地点、采用的生产工艺或者防治污染、防止生态破坏的措施未发生重大变动。</w:t>
                  </w:r>
                </w:p>
              </w:tc>
            </w:tr>
          </w:tbl>
          <w:p>
            <w:pPr>
              <w:outlineLvl w:val="0"/>
              <w:rPr>
                <w:b/>
                <w:color w:val="FF0000"/>
                <w:sz w:val="28"/>
                <w:szCs w:val="28"/>
              </w:rPr>
            </w:pPr>
          </w:p>
        </w:tc>
      </w:tr>
    </w:tbl>
    <w:p>
      <w:pPr>
        <w:outlineLvl w:val="0"/>
        <w:rPr>
          <w:b/>
          <w:color w:val="000000" w:themeColor="text1"/>
          <w:sz w:val="28"/>
          <w:szCs w:val="28"/>
        </w:rPr>
      </w:pPr>
      <w:r>
        <w:rPr>
          <w:rFonts w:hint="eastAsia"/>
          <w:b/>
          <w:color w:val="000000" w:themeColor="text1"/>
          <w:sz w:val="28"/>
          <w:szCs w:val="28"/>
        </w:rPr>
        <w:t>表十 验收监测结论与建议</w:t>
      </w:r>
      <w:bookmarkEnd w:id="212"/>
      <w:bookmarkEnd w:id="213"/>
      <w:bookmarkEnd w:id="214"/>
      <w:bookmarkEnd w:id="215"/>
      <w:bookmarkEnd w:id="216"/>
      <w:bookmarkEnd w:id="217"/>
      <w:bookmarkEnd w:id="218"/>
      <w:bookmarkEnd w:id="219"/>
      <w:bookmarkEnd w:id="220"/>
      <w:bookmarkEnd w:id="221"/>
      <w:bookmarkEnd w:id="222"/>
    </w:p>
    <w:tbl>
      <w:tblPr>
        <w:tblStyle w:val="1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354" w:type="dxa"/>
          </w:tcPr>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一、结论</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1、工况</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验收监测期间，该项目生产正常、各项污染物处理设施均正常运转，生产负荷达75%以上，符合验收监测工况要求。</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2、废水</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验收监测期间，废水排口中pH、化学需氧量、悬浮物、动植物油日均排放浓度均符合《</w:t>
            </w:r>
            <w:r>
              <w:rPr>
                <w:rFonts w:hint="eastAsia" w:ascii="宋体" w:hAnsi="宋体"/>
                <w:color w:val="000000" w:themeColor="text1"/>
                <w:sz w:val="24"/>
              </w:rPr>
              <w:t>污水综合排放标准</w:t>
            </w:r>
            <w:r>
              <w:rPr>
                <w:rFonts w:hint="eastAsia" w:ascii="宋体" w:hAnsi="宋体" w:cs="宋体"/>
                <w:color w:val="000000" w:themeColor="text1"/>
                <w:sz w:val="24"/>
              </w:rPr>
              <w:t>》（GB8978-1996）表4中三级标准，氨氮、总磷日均排放浓度符合均符合《污水排入城镇下水道水质标准》（批复标准）及《污水排入城镇下水道水质标准》（GB/T31962-2015）（参照标准）。</w:t>
            </w:r>
          </w:p>
          <w:p>
            <w:pPr>
              <w:numPr>
                <w:ilvl w:val="0"/>
                <w:numId w:val="10"/>
              </w:numPr>
              <w:spacing w:line="360" w:lineRule="auto"/>
              <w:rPr>
                <w:rFonts w:ascii="宋体" w:hAnsi="宋体" w:cs="宋体"/>
                <w:b/>
                <w:bCs/>
                <w:color w:val="000000" w:themeColor="text1"/>
                <w:sz w:val="24"/>
              </w:rPr>
            </w:pPr>
            <w:r>
              <w:rPr>
                <w:rFonts w:hint="eastAsia" w:ascii="宋体" w:hAnsi="宋体" w:cs="宋体"/>
                <w:b/>
                <w:bCs/>
                <w:color w:val="000000" w:themeColor="text1"/>
                <w:sz w:val="24"/>
              </w:rPr>
              <w:t>废气</w:t>
            </w:r>
          </w:p>
          <w:p>
            <w:pPr>
              <w:spacing w:line="360" w:lineRule="auto"/>
              <w:ind w:firstLine="480" w:firstLineChars="200"/>
              <w:rPr>
                <w:rFonts w:ascii="宋体" w:hAnsi="宋体" w:cs="宋体"/>
                <w:color w:val="000000" w:themeColor="text1"/>
                <w:kern w:val="0"/>
                <w:sz w:val="24"/>
              </w:rPr>
            </w:pPr>
            <w:r>
              <w:rPr>
                <w:rFonts w:hint="eastAsia" w:ascii="宋体" w:hAnsi="宋体" w:cs="宋体"/>
                <w:color w:val="000000" w:themeColor="text1"/>
                <w:sz w:val="24"/>
              </w:rPr>
              <w:t>验收监测期间，无组织废气颗粒物小时排放浓度符合《大气污染物综合排放标准》（GB16297-1996）表2中无组织排放监控浓度限值。</w:t>
            </w:r>
          </w:p>
          <w:p>
            <w:pPr>
              <w:numPr>
                <w:ilvl w:val="0"/>
                <w:numId w:val="10"/>
              </w:numPr>
              <w:spacing w:line="360" w:lineRule="auto"/>
              <w:rPr>
                <w:rFonts w:ascii="宋体" w:hAnsi="宋体" w:cs="宋体"/>
                <w:b/>
                <w:bCs/>
                <w:color w:val="000000" w:themeColor="text1"/>
                <w:kern w:val="0"/>
                <w:sz w:val="24"/>
              </w:rPr>
            </w:pPr>
            <w:r>
              <w:rPr>
                <w:rFonts w:hint="eastAsia" w:ascii="宋体" w:hAnsi="宋体" w:cs="宋体"/>
                <w:b/>
                <w:bCs/>
                <w:color w:val="000000" w:themeColor="text1"/>
                <w:kern w:val="0"/>
                <w:sz w:val="24"/>
              </w:rPr>
              <w:t>噪声</w:t>
            </w:r>
          </w:p>
          <w:p>
            <w:pPr>
              <w:spacing w:line="360" w:lineRule="auto"/>
              <w:ind w:firstLine="480" w:firstLineChars="200"/>
              <w:rPr>
                <w:rFonts w:ascii="宋体" w:hAnsi="宋体" w:cs="宋体"/>
                <w:color w:val="000000" w:themeColor="text1"/>
                <w:kern w:val="0"/>
                <w:sz w:val="24"/>
              </w:rPr>
            </w:pPr>
            <w:r>
              <w:rPr>
                <w:rFonts w:hint="eastAsia" w:ascii="宋体" w:hAnsi="宋体" w:cs="宋体"/>
                <w:color w:val="000000" w:themeColor="text1"/>
                <w:sz w:val="24"/>
              </w:rPr>
              <w:t>验收监测期间，本项目厂界昼间噪声符合《工业企业厂界环境噪声排放标准》（GB12348-2008）2类标准。</w:t>
            </w:r>
          </w:p>
          <w:p>
            <w:pPr>
              <w:spacing w:line="360" w:lineRule="auto"/>
              <w:rPr>
                <w:rFonts w:ascii="宋体" w:hAnsi="宋体" w:cs="宋体"/>
                <w:b/>
                <w:bCs/>
                <w:color w:val="000000" w:themeColor="text1"/>
                <w:kern w:val="0"/>
                <w:sz w:val="24"/>
              </w:rPr>
            </w:pPr>
            <w:r>
              <w:rPr>
                <w:rFonts w:hint="eastAsia" w:ascii="宋体" w:hAnsi="宋体" w:cs="宋体"/>
                <w:b/>
                <w:bCs/>
                <w:color w:val="000000" w:themeColor="text1"/>
                <w:kern w:val="0"/>
                <w:sz w:val="24"/>
              </w:rPr>
              <w:t>5、固体废物</w:t>
            </w:r>
          </w:p>
          <w:p>
            <w:pPr>
              <w:spacing w:line="360" w:lineRule="auto"/>
              <w:ind w:firstLine="480" w:firstLineChars="200"/>
              <w:rPr>
                <w:rFonts w:ascii="宋体" w:hAnsi="宋体" w:cs="宋体"/>
                <w:sz w:val="24"/>
              </w:rPr>
            </w:pPr>
            <w:r>
              <w:rPr>
                <w:rFonts w:hint="eastAsia" w:ascii="宋体" w:hAnsi="宋体" w:cs="宋体"/>
                <w:sz w:val="24"/>
              </w:rPr>
              <w:t>该项目产生的固废分类收集，产生的边角料、收集粉尘、废焊条综合利用；废机油暂存危废仓库；生活垃圾、废油手套经收集后由环卫部门统一处理。</w:t>
            </w:r>
          </w:p>
          <w:p>
            <w:pPr>
              <w:spacing w:line="360" w:lineRule="auto"/>
              <w:rPr>
                <w:rFonts w:ascii="宋体" w:hAnsi="宋体" w:cs="宋体"/>
                <w:b/>
                <w:bCs/>
                <w:color w:val="000000" w:themeColor="text1"/>
                <w:kern w:val="0"/>
                <w:sz w:val="24"/>
              </w:rPr>
            </w:pPr>
            <w:r>
              <w:rPr>
                <w:rFonts w:hint="eastAsia" w:ascii="宋体" w:hAnsi="宋体" w:cs="宋体"/>
                <w:b/>
                <w:bCs/>
                <w:color w:val="000000" w:themeColor="text1"/>
                <w:kern w:val="0"/>
                <w:sz w:val="24"/>
              </w:rPr>
              <w:t>6、总量</w:t>
            </w:r>
          </w:p>
          <w:p>
            <w:pPr>
              <w:spacing w:line="360" w:lineRule="auto"/>
              <w:ind w:firstLine="480"/>
              <w:rPr>
                <w:rFonts w:ascii="宋体" w:hAnsi="宋体" w:cs="宋体"/>
                <w:color w:val="000000" w:themeColor="text1"/>
                <w:kern w:val="0"/>
                <w:sz w:val="24"/>
              </w:rPr>
            </w:pPr>
            <w:r>
              <w:rPr>
                <w:rFonts w:hint="eastAsia" w:ascii="宋体" w:hAnsi="宋体" w:cs="宋体"/>
                <w:color w:val="000000" w:themeColor="text1"/>
                <w:sz w:val="24"/>
              </w:rPr>
              <w:t>项目废水中废水量、CODcr、SS、氨氮、总磷、动植物油的排放量分别为720t/a、0.0259</w:t>
            </w:r>
            <w:r>
              <w:rPr>
                <w:rFonts w:hint="eastAsia" w:ascii="宋体" w:hAnsi="宋体" w:cs="宋体"/>
                <w:color w:val="000000" w:themeColor="text1"/>
                <w:kern w:val="0"/>
                <w:sz w:val="24"/>
              </w:rPr>
              <w:t>t/a、0.0072t/a、0.0095t/a、0.0007t/a、0.0001t/a。</w:t>
            </w:r>
          </w:p>
          <w:p>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验收结论：该项目执行了“三同时”制度，验收监测期间，各类环保治理设施运行正常，项目所测的各类污染物均达标排放，环评批复中的各项要求基本落实。本验收监测报告认为该项目正常投入使用、环保设备正常运行时，满足竣工环境保护验收条件，建议通过该项目竣工环境保护验收。</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二、建议</w:t>
            </w:r>
          </w:p>
          <w:p>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1.完善污染物排口的标识牌。</w:t>
            </w:r>
          </w:p>
          <w:p>
            <w:pPr>
              <w:spacing w:line="360" w:lineRule="auto"/>
              <w:ind w:firstLine="480"/>
              <w:rPr>
                <w:rFonts w:ascii="宋体" w:hAnsi="宋体" w:cs="宋体"/>
                <w:color w:val="FF0000"/>
                <w:kern w:val="0"/>
                <w:sz w:val="24"/>
              </w:rPr>
            </w:pPr>
            <w:r>
              <w:rPr>
                <w:rFonts w:hint="eastAsia" w:ascii="宋体" w:hAnsi="宋体" w:cs="宋体"/>
                <w:color w:val="000000" w:themeColor="text1"/>
                <w:sz w:val="24"/>
              </w:rPr>
              <w:t>2.产生的危险废弃物委托有资质单位处置，做好危废台账工作，确保固废及时规范处理。</w:t>
            </w:r>
          </w:p>
        </w:tc>
      </w:tr>
    </w:tbl>
    <w:p>
      <w:pPr>
        <w:spacing w:beforeLines="20" w:afterLines="50" w:line="400" w:lineRule="exact"/>
        <w:rPr>
          <w:rFonts w:ascii="宋体" w:hAnsi="宋体" w:cs="宋体"/>
          <w:b/>
          <w:color w:val="FF0000"/>
          <w:sz w:val="28"/>
          <w:szCs w:val="28"/>
        </w:rPr>
        <w:sectPr>
          <w:footerReference r:id="rId16" w:type="default"/>
          <w:pgSz w:w="11906" w:h="16838"/>
          <w:pgMar w:top="1440" w:right="1588" w:bottom="1134" w:left="1588" w:header="851" w:footer="992" w:gutter="0"/>
          <w:cols w:space="720" w:num="1"/>
          <w:docGrid w:linePitch="312" w:charSpace="0"/>
        </w:sectPr>
      </w:pPr>
    </w:p>
    <w:p>
      <w:pPr>
        <w:jc w:val="left"/>
        <w:rPr>
          <w:color w:val="000000" w:themeColor="text1"/>
          <w:sz w:val="28"/>
          <w:szCs w:val="28"/>
        </w:rPr>
      </w:pPr>
      <w:bookmarkStart w:id="223" w:name="_Toc29006_WPSOffice_Level1"/>
      <w:bookmarkStart w:id="224" w:name="_Toc10515"/>
      <w:bookmarkStart w:id="225" w:name="_Toc22728"/>
      <w:bookmarkStart w:id="226" w:name="_Toc13142"/>
      <w:bookmarkStart w:id="227" w:name="_Toc7805"/>
      <w:bookmarkStart w:id="228" w:name="_Toc8848"/>
      <w:bookmarkStart w:id="229" w:name="_Toc21756"/>
      <w:bookmarkStart w:id="230" w:name="_Toc7270"/>
      <w:bookmarkStart w:id="231" w:name="_Toc28208"/>
      <w:bookmarkStart w:id="232" w:name="_Toc23902"/>
      <w:bookmarkStart w:id="233" w:name="_Toc2671"/>
      <w:r>
        <w:rPr>
          <w:rFonts w:hint="eastAsia"/>
          <w:color w:val="000000" w:themeColor="text1"/>
          <w:sz w:val="28"/>
          <w:szCs w:val="28"/>
        </w:rPr>
        <w:t>附表一：</w:t>
      </w:r>
      <w:bookmarkEnd w:id="223"/>
    </w:p>
    <w:p>
      <w:pPr>
        <w:jc w:val="center"/>
        <w:rPr>
          <w:rFonts w:ascii="宋体" w:hAnsi="宋体"/>
          <w:b/>
          <w:color w:val="000000"/>
          <w:sz w:val="36"/>
          <w:szCs w:val="36"/>
        </w:rPr>
      </w:pPr>
      <w:r>
        <w:rPr>
          <w:rFonts w:hint="eastAsia" w:ascii="宋体" w:hAnsi="宋体"/>
          <w:b/>
          <w:color w:val="000000"/>
          <w:sz w:val="36"/>
          <w:szCs w:val="36"/>
        </w:rPr>
        <w:t>废水排口（S1）检测结果</w:t>
      </w:r>
    </w:p>
    <w:tbl>
      <w:tblPr>
        <w:tblStyle w:val="12"/>
        <w:tblW w:w="13606" w:type="dxa"/>
        <w:jc w:val="center"/>
        <w:tblInd w:w="-15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340"/>
        <w:gridCol w:w="1345"/>
        <w:gridCol w:w="2153"/>
        <w:gridCol w:w="1534"/>
        <w:gridCol w:w="1326"/>
        <w:gridCol w:w="1348"/>
        <w:gridCol w:w="1502"/>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restart"/>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监测</w:t>
            </w:r>
          </w:p>
          <w:p>
            <w:pPr>
              <w:widowControl/>
              <w:jc w:val="center"/>
              <w:rPr>
                <w:rFonts w:ascii="宋体" w:hAnsi="宋体"/>
                <w:color w:val="000000"/>
                <w:kern w:val="0"/>
                <w:szCs w:val="21"/>
              </w:rPr>
            </w:pPr>
            <w:r>
              <w:rPr>
                <w:rFonts w:ascii="宋体" w:hAnsi="宋体"/>
                <w:color w:val="000000"/>
                <w:kern w:val="0"/>
                <w:szCs w:val="21"/>
              </w:rPr>
              <w:t>点位</w:t>
            </w:r>
          </w:p>
        </w:tc>
        <w:tc>
          <w:tcPr>
            <w:tcW w:w="1340" w:type="dxa"/>
            <w:vMerge w:val="restart"/>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检测</w:t>
            </w:r>
          </w:p>
          <w:p>
            <w:pPr>
              <w:widowControl/>
              <w:jc w:val="center"/>
              <w:rPr>
                <w:rFonts w:ascii="宋体" w:hAnsi="宋体"/>
                <w:color w:val="000000"/>
                <w:kern w:val="0"/>
                <w:szCs w:val="21"/>
              </w:rPr>
            </w:pPr>
            <w:r>
              <w:rPr>
                <w:rFonts w:ascii="宋体" w:hAnsi="宋体"/>
                <w:color w:val="000000"/>
                <w:kern w:val="0"/>
                <w:szCs w:val="21"/>
              </w:rPr>
              <w:t>日期</w:t>
            </w:r>
          </w:p>
        </w:tc>
        <w:tc>
          <w:tcPr>
            <w:tcW w:w="1345" w:type="dxa"/>
            <w:vMerge w:val="restart"/>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检测</w:t>
            </w:r>
          </w:p>
          <w:p>
            <w:pPr>
              <w:widowControl/>
              <w:jc w:val="center"/>
              <w:rPr>
                <w:rFonts w:ascii="宋体" w:hAnsi="宋体"/>
                <w:color w:val="000000"/>
                <w:kern w:val="0"/>
                <w:szCs w:val="21"/>
              </w:rPr>
            </w:pPr>
            <w:r>
              <w:rPr>
                <w:rFonts w:ascii="宋体" w:hAnsi="宋体"/>
                <w:color w:val="000000"/>
                <w:kern w:val="0"/>
                <w:szCs w:val="21"/>
              </w:rPr>
              <w:t>频次</w:t>
            </w:r>
          </w:p>
        </w:tc>
        <w:tc>
          <w:tcPr>
            <w:tcW w:w="2153"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pH</w:t>
            </w:r>
          </w:p>
        </w:tc>
        <w:tc>
          <w:tcPr>
            <w:tcW w:w="153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COD</w:t>
            </w:r>
            <w:r>
              <w:rPr>
                <w:rFonts w:hint="eastAsia" w:ascii="宋体" w:hAnsi="宋体"/>
                <w:color w:val="000000"/>
                <w:kern w:val="0"/>
                <w:szCs w:val="21"/>
                <w:vertAlign w:val="subscript"/>
              </w:rPr>
              <w:t>cr</w:t>
            </w:r>
          </w:p>
        </w:tc>
        <w:tc>
          <w:tcPr>
            <w:tcW w:w="1326"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SS</w:t>
            </w:r>
          </w:p>
        </w:tc>
        <w:tc>
          <w:tcPr>
            <w:tcW w:w="1348"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氨氮</w:t>
            </w:r>
          </w:p>
        </w:tc>
        <w:tc>
          <w:tcPr>
            <w:tcW w:w="1502"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总磷</w:t>
            </w:r>
          </w:p>
        </w:tc>
        <w:tc>
          <w:tcPr>
            <w:tcW w:w="1761"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vMerge w:val="continue"/>
            <w:tcBorders>
              <w:tl2br w:val="nil"/>
              <w:tr2bl w:val="nil"/>
            </w:tcBorders>
            <w:vAlign w:val="center"/>
          </w:tcPr>
          <w:p>
            <w:pPr>
              <w:widowControl/>
              <w:jc w:val="center"/>
              <w:rPr>
                <w:rFonts w:ascii="宋体" w:hAnsi="宋体"/>
                <w:color w:val="000000"/>
                <w:kern w:val="0"/>
                <w:szCs w:val="21"/>
              </w:rPr>
            </w:pPr>
          </w:p>
        </w:tc>
        <w:tc>
          <w:tcPr>
            <w:tcW w:w="2153"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无量纲</w:t>
            </w:r>
          </w:p>
        </w:tc>
        <w:tc>
          <w:tcPr>
            <w:tcW w:w="1534"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mg/L</w:t>
            </w:r>
          </w:p>
        </w:tc>
        <w:tc>
          <w:tcPr>
            <w:tcW w:w="1326"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mg/L</w:t>
            </w:r>
          </w:p>
        </w:tc>
        <w:tc>
          <w:tcPr>
            <w:tcW w:w="1348"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mg/L</w:t>
            </w:r>
          </w:p>
        </w:tc>
        <w:tc>
          <w:tcPr>
            <w:tcW w:w="1502"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mg/L</w:t>
            </w:r>
          </w:p>
        </w:tc>
        <w:tc>
          <w:tcPr>
            <w:tcW w:w="1761" w:type="dxa"/>
            <w:tcBorders>
              <w:tl2br w:val="nil"/>
              <w:tr2bl w:val="nil"/>
            </w:tcBorders>
            <w:vAlign w:val="center"/>
          </w:tcPr>
          <w:p>
            <w:pPr>
              <w:widowControl/>
              <w:jc w:val="center"/>
              <w:rPr>
                <w:rFonts w:ascii="宋体" w:hAnsi="宋体"/>
                <w:color w:val="000000"/>
                <w:kern w:val="0"/>
                <w:szCs w:val="21"/>
              </w:rPr>
            </w:pPr>
            <w:r>
              <w:rPr>
                <w:rFonts w:ascii="宋体" w:hAnsi="宋体"/>
                <w:color w:val="000000"/>
                <w:kern w:val="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97" w:type="dxa"/>
            <w:vMerge w:val="restart"/>
            <w:tcBorders>
              <w:tl2br w:val="nil"/>
              <w:tr2bl w:val="nil"/>
            </w:tcBorders>
            <w:vAlign w:val="center"/>
          </w:tcPr>
          <w:p>
            <w:pPr>
              <w:widowControl/>
              <w:jc w:val="center"/>
              <w:rPr>
                <w:rFonts w:ascii="宋体" w:hAnsi="宋体"/>
                <w:color w:val="000000"/>
                <w:kern w:val="0"/>
                <w:szCs w:val="21"/>
              </w:rPr>
            </w:pPr>
            <w:r>
              <w:rPr>
                <w:rFonts w:hint="eastAsia"/>
                <w:color w:val="000000"/>
                <w:szCs w:val="21"/>
              </w:rPr>
              <w:t>废水排口</w:t>
            </w:r>
            <w:r>
              <w:rPr>
                <w:rFonts w:hint="eastAsia" w:ascii="宋体" w:hAnsi="宋体"/>
                <w:color w:val="000000"/>
                <w:szCs w:val="21"/>
              </w:rPr>
              <w:t>S1</w:t>
            </w:r>
          </w:p>
        </w:tc>
        <w:tc>
          <w:tcPr>
            <w:tcW w:w="1340" w:type="dxa"/>
            <w:vMerge w:val="restart"/>
            <w:tcBorders>
              <w:tl2br w:val="nil"/>
              <w:tr2bl w:val="nil"/>
            </w:tcBorders>
            <w:vAlign w:val="center"/>
          </w:tcPr>
          <w:p>
            <w:pPr>
              <w:jc w:val="center"/>
              <w:rPr>
                <w:rFonts w:ascii="宋体" w:hAnsi="宋体"/>
                <w:color w:val="000000"/>
                <w:kern w:val="0"/>
                <w:szCs w:val="21"/>
              </w:rPr>
            </w:pPr>
            <w:r>
              <w:rPr>
                <w:rFonts w:hint="eastAsia" w:ascii="宋体" w:hAnsi="宋体"/>
                <w:color w:val="000000"/>
                <w:szCs w:val="21"/>
              </w:rPr>
              <w:t>10月24日</w:t>
            </w: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①</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7.34</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34</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10</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15.5</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1.11</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②</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7.21</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28</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15.6</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1.14</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③</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7.26</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40</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6</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15.7</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1.15</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④</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7.36</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41</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9</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16.2</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1.14</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均值</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s="宋体"/>
                <w:color w:val="000000"/>
                <w:szCs w:val="21"/>
              </w:rPr>
              <w:t>7.21～7.36</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average(E3:E6) \* MERGEFORMAT </w:instrText>
            </w:r>
            <w:r>
              <w:rPr>
                <w:rFonts w:hint="eastAsia" w:ascii="宋体" w:hAnsi="宋体"/>
                <w:color w:val="000000"/>
                <w:szCs w:val="21"/>
              </w:rPr>
              <w:fldChar w:fldCharType="separate"/>
            </w:r>
            <w:r>
              <w:rPr>
                <w:rFonts w:hint="eastAsia" w:ascii="宋体" w:hAnsi="宋体"/>
                <w:color w:val="000000"/>
                <w:szCs w:val="21"/>
              </w:rPr>
              <w:t>36</w:t>
            </w:r>
            <w:r>
              <w:rPr>
                <w:rFonts w:hint="eastAsia" w:ascii="宋体" w:hAnsi="宋体"/>
                <w:color w:val="000000"/>
                <w:szCs w:val="21"/>
              </w:rPr>
              <w:fldChar w:fldCharType="end"/>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average(F3:F6) \* MERGEFORMAT </w:instrText>
            </w:r>
            <w:r>
              <w:rPr>
                <w:rFonts w:hint="eastAsia" w:ascii="宋体" w:hAnsi="宋体"/>
                <w:color w:val="000000"/>
                <w:szCs w:val="21"/>
              </w:rPr>
              <w:fldChar w:fldCharType="separate"/>
            </w:r>
            <w:r>
              <w:rPr>
                <w:rFonts w:hint="eastAsia" w:ascii="宋体" w:hAnsi="宋体"/>
                <w:color w:val="000000"/>
                <w:szCs w:val="21"/>
              </w:rPr>
              <w:t>9</w:t>
            </w:r>
            <w:r>
              <w:rPr>
                <w:rFonts w:hint="eastAsia" w:ascii="宋体" w:hAnsi="宋体"/>
                <w:color w:val="000000"/>
                <w:szCs w:val="21"/>
              </w:rPr>
              <w:fldChar w:fldCharType="end"/>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average(G3:G6) \* MERGEFORMAT </w:instrText>
            </w:r>
            <w:r>
              <w:rPr>
                <w:rFonts w:hint="eastAsia" w:ascii="宋体" w:hAnsi="宋体"/>
                <w:color w:val="000000"/>
                <w:szCs w:val="21"/>
              </w:rPr>
              <w:fldChar w:fldCharType="separate"/>
            </w:r>
            <w:r>
              <w:rPr>
                <w:rFonts w:hint="eastAsia" w:ascii="宋体" w:hAnsi="宋体"/>
                <w:color w:val="000000"/>
                <w:szCs w:val="21"/>
              </w:rPr>
              <w:t>15.8</w:t>
            </w:r>
            <w:r>
              <w:rPr>
                <w:rFonts w:hint="eastAsia" w:ascii="宋体" w:hAnsi="宋体"/>
                <w:color w:val="000000"/>
                <w:szCs w:val="21"/>
              </w:rPr>
              <w:fldChar w:fldCharType="end"/>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average(H3:H6) \* MERGEFORMAT </w:instrText>
            </w:r>
            <w:r>
              <w:rPr>
                <w:rFonts w:hint="eastAsia" w:ascii="宋体" w:hAnsi="宋体"/>
                <w:color w:val="000000"/>
                <w:szCs w:val="21"/>
              </w:rPr>
              <w:fldChar w:fldCharType="separate"/>
            </w:r>
            <w:r>
              <w:rPr>
                <w:rFonts w:hint="eastAsia" w:ascii="宋体" w:hAnsi="宋体"/>
                <w:color w:val="000000"/>
                <w:szCs w:val="21"/>
              </w:rPr>
              <w:t>1.14</w:t>
            </w:r>
            <w:r>
              <w:rPr>
                <w:rFonts w:hint="eastAsia" w:ascii="宋体" w:hAnsi="宋体"/>
                <w:color w:val="000000"/>
                <w:szCs w:val="21"/>
              </w:rPr>
              <w:fldChar w:fldCharType="end"/>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restart"/>
            <w:tcBorders>
              <w:tl2br w:val="nil"/>
              <w:tr2bl w:val="nil"/>
            </w:tcBorders>
            <w:vAlign w:val="center"/>
          </w:tcPr>
          <w:p>
            <w:pPr>
              <w:jc w:val="center"/>
              <w:rPr>
                <w:rFonts w:ascii="宋体" w:hAnsi="宋体"/>
                <w:color w:val="000000"/>
                <w:kern w:val="0"/>
                <w:szCs w:val="21"/>
              </w:rPr>
            </w:pPr>
            <w:r>
              <w:rPr>
                <w:rFonts w:hint="eastAsia" w:ascii="宋体" w:hAnsi="宋体"/>
                <w:color w:val="000000"/>
                <w:szCs w:val="21"/>
              </w:rPr>
              <w:t>10月25日</w:t>
            </w: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①</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7.39</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40</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9</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10.5</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0.72</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②</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7.32</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35</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10.3</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0.74</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③</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7.21</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32</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11</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10.7</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0.80</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④</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7.28</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32</w:t>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9</w:t>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10.4</w:t>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0.78</w:t>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7" w:type="dxa"/>
            <w:vMerge w:val="continue"/>
            <w:tcBorders>
              <w:tl2br w:val="nil"/>
              <w:tr2bl w:val="nil"/>
            </w:tcBorders>
            <w:vAlign w:val="center"/>
          </w:tcPr>
          <w:p>
            <w:pPr>
              <w:widowControl/>
              <w:jc w:val="center"/>
              <w:rPr>
                <w:rFonts w:ascii="宋体" w:hAnsi="宋体"/>
                <w:color w:val="000000"/>
                <w:kern w:val="0"/>
                <w:szCs w:val="21"/>
              </w:rPr>
            </w:pPr>
          </w:p>
        </w:tc>
        <w:tc>
          <w:tcPr>
            <w:tcW w:w="1340" w:type="dxa"/>
            <w:vMerge w:val="continue"/>
            <w:tcBorders>
              <w:tl2br w:val="nil"/>
              <w:tr2bl w:val="nil"/>
            </w:tcBorders>
            <w:vAlign w:val="center"/>
          </w:tcPr>
          <w:p>
            <w:pPr>
              <w:widowControl/>
              <w:jc w:val="center"/>
              <w:rPr>
                <w:rFonts w:ascii="宋体" w:hAnsi="宋体"/>
                <w:color w:val="000000"/>
                <w:kern w:val="0"/>
                <w:szCs w:val="21"/>
              </w:rPr>
            </w:pPr>
          </w:p>
        </w:tc>
        <w:tc>
          <w:tcPr>
            <w:tcW w:w="134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均值</w:t>
            </w:r>
          </w:p>
        </w:tc>
        <w:tc>
          <w:tcPr>
            <w:tcW w:w="2153" w:type="dxa"/>
            <w:tcBorders>
              <w:tl2br w:val="nil"/>
              <w:tr2bl w:val="nil"/>
            </w:tcBorders>
            <w:vAlign w:val="center"/>
          </w:tcPr>
          <w:p>
            <w:pPr>
              <w:jc w:val="center"/>
              <w:rPr>
                <w:rFonts w:ascii="宋体" w:hAnsi="宋体"/>
                <w:color w:val="000000"/>
                <w:szCs w:val="21"/>
              </w:rPr>
            </w:pPr>
            <w:r>
              <w:rPr>
                <w:rFonts w:hint="eastAsia" w:ascii="宋体" w:hAnsi="宋体" w:cs="宋体"/>
                <w:color w:val="000000"/>
                <w:szCs w:val="21"/>
              </w:rPr>
              <w:t>7.21～7.39</w:t>
            </w:r>
          </w:p>
        </w:tc>
        <w:tc>
          <w:tcPr>
            <w:tcW w:w="1534"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average(E8:E11) \* MERGEFORMAT </w:instrText>
            </w:r>
            <w:r>
              <w:rPr>
                <w:rFonts w:hint="eastAsia" w:ascii="宋体" w:hAnsi="宋体"/>
                <w:color w:val="000000"/>
                <w:szCs w:val="21"/>
              </w:rPr>
              <w:fldChar w:fldCharType="separate"/>
            </w:r>
            <w:r>
              <w:rPr>
                <w:rFonts w:hint="eastAsia" w:ascii="宋体" w:hAnsi="宋体"/>
                <w:color w:val="000000"/>
                <w:szCs w:val="21"/>
              </w:rPr>
              <w:t>35</w:t>
            </w:r>
            <w:r>
              <w:rPr>
                <w:rFonts w:hint="eastAsia" w:ascii="宋体" w:hAnsi="宋体"/>
                <w:color w:val="000000"/>
                <w:szCs w:val="21"/>
              </w:rPr>
              <w:fldChar w:fldCharType="end"/>
            </w:r>
          </w:p>
        </w:tc>
        <w:tc>
          <w:tcPr>
            <w:tcW w:w="1326"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average(F8:F11) \* MERGEFORMAT </w:instrText>
            </w:r>
            <w:r>
              <w:rPr>
                <w:rFonts w:hint="eastAsia" w:ascii="宋体" w:hAnsi="宋体"/>
                <w:color w:val="000000"/>
                <w:szCs w:val="21"/>
              </w:rPr>
              <w:fldChar w:fldCharType="separate"/>
            </w:r>
            <w:r>
              <w:rPr>
                <w:rFonts w:hint="eastAsia" w:ascii="宋体" w:hAnsi="宋体"/>
                <w:color w:val="000000"/>
                <w:szCs w:val="21"/>
              </w:rPr>
              <w:t>10</w:t>
            </w:r>
            <w:r>
              <w:rPr>
                <w:rFonts w:hint="eastAsia" w:ascii="宋体" w:hAnsi="宋体"/>
                <w:color w:val="000000"/>
                <w:szCs w:val="21"/>
              </w:rPr>
              <w:fldChar w:fldCharType="end"/>
            </w:r>
          </w:p>
        </w:tc>
        <w:tc>
          <w:tcPr>
            <w:tcW w:w="1348"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average(G8:G11) \* MERGEFORMAT </w:instrText>
            </w:r>
            <w:r>
              <w:rPr>
                <w:rFonts w:hint="eastAsia" w:ascii="宋体" w:hAnsi="宋体"/>
                <w:color w:val="000000"/>
                <w:szCs w:val="21"/>
              </w:rPr>
              <w:fldChar w:fldCharType="separate"/>
            </w:r>
            <w:r>
              <w:rPr>
                <w:rFonts w:hint="eastAsia" w:ascii="宋体" w:hAnsi="宋体"/>
                <w:color w:val="000000"/>
                <w:szCs w:val="21"/>
              </w:rPr>
              <w:t>10.5</w:t>
            </w:r>
            <w:r>
              <w:rPr>
                <w:rFonts w:hint="eastAsia" w:ascii="宋体" w:hAnsi="宋体"/>
                <w:color w:val="000000"/>
                <w:szCs w:val="21"/>
              </w:rPr>
              <w:fldChar w:fldCharType="end"/>
            </w:r>
          </w:p>
        </w:tc>
        <w:tc>
          <w:tcPr>
            <w:tcW w:w="1502"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 average(H8:H11) \* MERGEFORMAT </w:instrText>
            </w:r>
            <w:r>
              <w:rPr>
                <w:rFonts w:hint="eastAsia" w:ascii="宋体" w:hAnsi="宋体"/>
                <w:color w:val="000000"/>
                <w:szCs w:val="21"/>
              </w:rPr>
              <w:fldChar w:fldCharType="separate"/>
            </w:r>
            <w:r>
              <w:rPr>
                <w:rFonts w:hint="eastAsia" w:ascii="宋体" w:hAnsi="宋体"/>
                <w:color w:val="000000"/>
                <w:szCs w:val="21"/>
              </w:rPr>
              <w:t>0.76</w:t>
            </w:r>
            <w:r>
              <w:rPr>
                <w:rFonts w:hint="eastAsia" w:ascii="宋体" w:hAnsi="宋体"/>
                <w:color w:val="000000"/>
                <w:szCs w:val="21"/>
              </w:rPr>
              <w:fldChar w:fldCharType="end"/>
            </w:r>
          </w:p>
        </w:tc>
        <w:tc>
          <w:tcPr>
            <w:tcW w:w="1761" w:type="dxa"/>
            <w:tcBorders>
              <w:tl2br w:val="nil"/>
              <w:tr2bl w:val="nil"/>
            </w:tcBorders>
            <w:vAlign w:val="center"/>
          </w:tcPr>
          <w:p>
            <w:pPr>
              <w:jc w:val="center"/>
              <w:rPr>
                <w:rFonts w:ascii="宋体" w:hAnsi="宋体"/>
                <w:color w:val="000000"/>
                <w:szCs w:val="21"/>
              </w:rPr>
            </w:pPr>
            <w:r>
              <w:rPr>
                <w:rFonts w:hint="eastAsia" w:ascii="宋体" w:hAnsi="宋体"/>
                <w:color w:val="000000"/>
                <w:szCs w:val="21"/>
              </w:rPr>
              <w:t>0.20</w:t>
            </w:r>
          </w:p>
        </w:tc>
      </w:tr>
    </w:tbl>
    <w:p>
      <w:pPr>
        <w:jc w:val="center"/>
        <w:rPr>
          <w:rFonts w:ascii="宋体" w:hAnsi="宋体"/>
          <w:b/>
          <w:color w:val="000000" w:themeColor="text1"/>
          <w:sz w:val="36"/>
          <w:szCs w:val="36"/>
        </w:rPr>
      </w:pPr>
      <w:r>
        <w:rPr>
          <w:rFonts w:hint="eastAsia" w:ascii="宋体" w:hAnsi="宋体"/>
          <w:b/>
          <w:color w:val="000000" w:themeColor="text1"/>
          <w:sz w:val="36"/>
          <w:szCs w:val="36"/>
        </w:rPr>
        <w:t xml:space="preserve">  </w:t>
      </w: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jc w:val="center"/>
        <w:rPr>
          <w:rFonts w:ascii="宋体" w:hAnsi="宋体"/>
          <w:b/>
          <w:color w:val="000000" w:themeColor="text1"/>
          <w:sz w:val="36"/>
          <w:szCs w:val="36"/>
        </w:rPr>
      </w:pPr>
    </w:p>
    <w:p>
      <w:pPr>
        <w:rPr>
          <w:color w:val="000000" w:themeColor="text1"/>
          <w:sz w:val="28"/>
          <w:szCs w:val="28"/>
        </w:rPr>
        <w:sectPr>
          <w:footerReference r:id="rId17" w:type="default"/>
          <w:pgSz w:w="16838" w:h="11906" w:orient="landscape"/>
          <w:pgMar w:top="1588" w:right="1440" w:bottom="1588" w:left="1134" w:header="851" w:footer="992" w:gutter="0"/>
          <w:cols w:space="720" w:num="1"/>
          <w:docGrid w:linePitch="312" w:charSpace="0"/>
        </w:sectPr>
      </w:pPr>
    </w:p>
    <w:p>
      <w:pPr>
        <w:jc w:val="left"/>
        <w:rPr>
          <w:color w:val="000000" w:themeColor="text1"/>
          <w:sz w:val="28"/>
          <w:szCs w:val="28"/>
        </w:rPr>
      </w:pPr>
      <w:bookmarkStart w:id="234" w:name="_Toc2328_WPSOffice_Level1"/>
      <w:r>
        <w:rPr>
          <w:rFonts w:hint="eastAsia"/>
          <w:color w:val="000000" w:themeColor="text1"/>
          <w:sz w:val="28"/>
          <w:szCs w:val="28"/>
        </w:rPr>
        <w:t>附表二：</w:t>
      </w:r>
      <w:bookmarkEnd w:id="234"/>
    </w:p>
    <w:p>
      <w:pPr>
        <w:jc w:val="center"/>
        <w:rPr>
          <w:rFonts w:ascii="宋体" w:hAnsi="宋体"/>
          <w:b/>
          <w:color w:val="000000"/>
          <w:sz w:val="36"/>
          <w:szCs w:val="36"/>
        </w:rPr>
      </w:pPr>
      <w:r>
        <w:rPr>
          <w:rFonts w:hint="eastAsia" w:ascii="宋体" w:hAnsi="宋体"/>
          <w:b/>
          <w:color w:val="000000"/>
          <w:sz w:val="36"/>
          <w:szCs w:val="36"/>
        </w:rPr>
        <w:t>雨水排口（S2）检测结果</w:t>
      </w:r>
    </w:p>
    <w:tbl>
      <w:tblPr>
        <w:tblStyle w:val="12"/>
        <w:tblW w:w="9071" w:type="dxa"/>
        <w:jc w:val="center"/>
        <w:tblInd w:w="-7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651"/>
        <w:gridCol w:w="1327"/>
        <w:gridCol w:w="2225"/>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restart"/>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监测</w:t>
            </w:r>
          </w:p>
          <w:p>
            <w:pPr>
              <w:widowControl/>
              <w:jc w:val="center"/>
              <w:rPr>
                <w:rFonts w:ascii="宋体" w:hAnsi="宋体" w:cs="宋体"/>
                <w:color w:val="000000"/>
                <w:kern w:val="0"/>
                <w:szCs w:val="21"/>
              </w:rPr>
            </w:pPr>
            <w:r>
              <w:rPr>
                <w:rFonts w:hint="eastAsia" w:ascii="宋体" w:hAnsi="宋体" w:cs="宋体"/>
                <w:color w:val="000000"/>
                <w:kern w:val="0"/>
                <w:szCs w:val="21"/>
              </w:rPr>
              <w:t>点位</w:t>
            </w:r>
          </w:p>
        </w:tc>
        <w:tc>
          <w:tcPr>
            <w:tcW w:w="1651" w:type="dxa"/>
            <w:vMerge w:val="restart"/>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监测</w:t>
            </w:r>
          </w:p>
          <w:p>
            <w:pPr>
              <w:widowControl/>
              <w:jc w:val="center"/>
              <w:rPr>
                <w:rFonts w:ascii="宋体" w:hAnsi="宋体" w:cs="宋体"/>
                <w:color w:val="000000"/>
                <w:kern w:val="0"/>
                <w:szCs w:val="21"/>
              </w:rPr>
            </w:pPr>
            <w:r>
              <w:rPr>
                <w:rFonts w:hint="eastAsia" w:ascii="宋体" w:hAnsi="宋体" w:cs="宋体"/>
                <w:color w:val="000000"/>
                <w:kern w:val="0"/>
                <w:szCs w:val="21"/>
              </w:rPr>
              <w:t>日期</w:t>
            </w:r>
          </w:p>
        </w:tc>
        <w:tc>
          <w:tcPr>
            <w:tcW w:w="1327" w:type="dxa"/>
            <w:vMerge w:val="restart"/>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监测</w:t>
            </w:r>
          </w:p>
          <w:p>
            <w:pPr>
              <w:widowControl/>
              <w:jc w:val="center"/>
              <w:rPr>
                <w:rFonts w:ascii="宋体" w:hAnsi="宋体" w:cs="宋体"/>
                <w:color w:val="000000"/>
                <w:kern w:val="0"/>
                <w:szCs w:val="21"/>
              </w:rPr>
            </w:pPr>
            <w:r>
              <w:rPr>
                <w:rFonts w:hint="eastAsia" w:ascii="宋体" w:hAnsi="宋体" w:cs="宋体"/>
                <w:color w:val="000000"/>
                <w:kern w:val="0"/>
                <w:szCs w:val="21"/>
              </w:rPr>
              <w:t>频次</w:t>
            </w:r>
          </w:p>
        </w:tc>
        <w:tc>
          <w:tcPr>
            <w:tcW w:w="2225"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pH</w:t>
            </w:r>
          </w:p>
        </w:tc>
        <w:tc>
          <w:tcPr>
            <w:tcW w:w="2188"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COD</w:t>
            </w:r>
            <w:r>
              <w:rPr>
                <w:rFonts w:hint="eastAsia" w:ascii="宋体" w:hAnsi="宋体" w:cs="宋体"/>
                <w:color w:val="000000"/>
                <w:kern w:val="0"/>
                <w:szCs w:val="21"/>
                <w:vertAlign w:val="subscript"/>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widowControl/>
              <w:jc w:val="center"/>
              <w:rPr>
                <w:rFonts w:ascii="宋体" w:hAnsi="宋体"/>
                <w:color w:val="000000"/>
                <w:kern w:val="0"/>
                <w:szCs w:val="21"/>
              </w:rPr>
            </w:pPr>
          </w:p>
        </w:tc>
        <w:tc>
          <w:tcPr>
            <w:tcW w:w="1651" w:type="dxa"/>
            <w:vMerge w:val="continue"/>
            <w:tcBorders>
              <w:tl2br w:val="nil"/>
              <w:tr2bl w:val="nil"/>
            </w:tcBorders>
            <w:vAlign w:val="center"/>
          </w:tcPr>
          <w:p>
            <w:pPr>
              <w:widowControl/>
              <w:jc w:val="center"/>
              <w:rPr>
                <w:rFonts w:ascii="宋体" w:hAnsi="宋体"/>
                <w:color w:val="000000"/>
                <w:kern w:val="0"/>
                <w:szCs w:val="21"/>
              </w:rPr>
            </w:pPr>
          </w:p>
        </w:tc>
        <w:tc>
          <w:tcPr>
            <w:tcW w:w="1327" w:type="dxa"/>
            <w:vMerge w:val="continue"/>
            <w:tcBorders>
              <w:tl2br w:val="nil"/>
              <w:tr2bl w:val="nil"/>
            </w:tcBorders>
            <w:vAlign w:val="center"/>
          </w:tcPr>
          <w:p>
            <w:pPr>
              <w:widowControl/>
              <w:jc w:val="center"/>
              <w:rPr>
                <w:rFonts w:ascii="宋体" w:hAnsi="宋体" w:cs="宋体"/>
                <w:color w:val="000000"/>
                <w:kern w:val="0"/>
                <w:szCs w:val="21"/>
              </w:rPr>
            </w:pPr>
          </w:p>
        </w:tc>
        <w:tc>
          <w:tcPr>
            <w:tcW w:w="2225"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无量纲</w:t>
            </w:r>
          </w:p>
        </w:tc>
        <w:tc>
          <w:tcPr>
            <w:tcW w:w="2188"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restart"/>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雨水排口S2</w:t>
            </w:r>
          </w:p>
        </w:tc>
        <w:tc>
          <w:tcPr>
            <w:tcW w:w="1651" w:type="dxa"/>
            <w:vMerge w:val="restart"/>
            <w:tcBorders>
              <w:tl2br w:val="nil"/>
              <w:tr2bl w:val="nil"/>
            </w:tcBorders>
            <w:vAlign w:val="center"/>
          </w:tcPr>
          <w:p>
            <w:pPr>
              <w:jc w:val="center"/>
              <w:rPr>
                <w:rFonts w:ascii="宋体" w:hAnsi="宋体"/>
                <w:color w:val="000000"/>
                <w:kern w:val="0"/>
                <w:szCs w:val="21"/>
              </w:rPr>
            </w:pPr>
            <w:r>
              <w:rPr>
                <w:rFonts w:hint="eastAsia" w:ascii="宋体" w:hAnsi="宋体"/>
                <w:color w:val="000000"/>
                <w:szCs w:val="21"/>
              </w:rPr>
              <w:t>10月24日</w:t>
            </w:r>
          </w:p>
        </w:tc>
        <w:tc>
          <w:tcPr>
            <w:tcW w:w="1327"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olor w:val="000000"/>
                <w:kern w:val="0"/>
                <w:szCs w:val="21"/>
              </w:rPr>
              <w:t>①</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7.12</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widowControl/>
              <w:jc w:val="center"/>
              <w:rPr>
                <w:rFonts w:ascii="宋体" w:hAnsi="宋体"/>
                <w:color w:val="000000"/>
                <w:kern w:val="0"/>
                <w:szCs w:val="21"/>
              </w:rPr>
            </w:pPr>
          </w:p>
        </w:tc>
        <w:tc>
          <w:tcPr>
            <w:tcW w:w="1651" w:type="dxa"/>
            <w:vMerge w:val="continue"/>
            <w:tcBorders>
              <w:tl2br w:val="nil"/>
              <w:tr2bl w:val="nil"/>
            </w:tcBorders>
            <w:vAlign w:val="center"/>
          </w:tcPr>
          <w:p>
            <w:pPr>
              <w:jc w:val="center"/>
              <w:rPr>
                <w:rFonts w:ascii="宋体" w:hAnsi="宋体"/>
                <w:color w:val="000000"/>
                <w:szCs w:val="21"/>
              </w:rPr>
            </w:pPr>
          </w:p>
        </w:tc>
        <w:tc>
          <w:tcPr>
            <w:tcW w:w="1327"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olor w:val="000000"/>
                <w:kern w:val="0"/>
                <w:szCs w:val="21"/>
              </w:rPr>
              <w:t>②</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7.08</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widowControl/>
              <w:jc w:val="center"/>
              <w:rPr>
                <w:rFonts w:ascii="宋体" w:hAnsi="宋体"/>
                <w:color w:val="000000"/>
                <w:kern w:val="0"/>
                <w:szCs w:val="21"/>
              </w:rPr>
            </w:pPr>
          </w:p>
        </w:tc>
        <w:tc>
          <w:tcPr>
            <w:tcW w:w="1651" w:type="dxa"/>
            <w:vMerge w:val="continue"/>
            <w:tcBorders>
              <w:tl2br w:val="nil"/>
              <w:tr2bl w:val="nil"/>
            </w:tcBorders>
            <w:vAlign w:val="center"/>
          </w:tcPr>
          <w:p>
            <w:pPr>
              <w:jc w:val="center"/>
              <w:rPr>
                <w:rFonts w:ascii="宋体" w:hAnsi="宋体"/>
                <w:color w:val="000000"/>
                <w:szCs w:val="21"/>
              </w:rPr>
            </w:pPr>
          </w:p>
        </w:tc>
        <w:tc>
          <w:tcPr>
            <w:tcW w:w="1327"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均值</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7.08～7.12</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jc w:val="center"/>
              <w:rPr>
                <w:rFonts w:ascii="宋体" w:hAnsi="宋体"/>
                <w:color w:val="000000"/>
                <w:kern w:val="0"/>
                <w:szCs w:val="21"/>
              </w:rPr>
            </w:pPr>
          </w:p>
        </w:tc>
        <w:tc>
          <w:tcPr>
            <w:tcW w:w="1651" w:type="dxa"/>
            <w:vMerge w:val="restart"/>
            <w:tcBorders>
              <w:tl2br w:val="nil"/>
              <w:tr2bl w:val="nil"/>
            </w:tcBorders>
            <w:vAlign w:val="center"/>
          </w:tcPr>
          <w:p>
            <w:pPr>
              <w:jc w:val="center"/>
              <w:rPr>
                <w:rFonts w:ascii="宋体" w:hAnsi="宋体"/>
                <w:color w:val="000000"/>
                <w:kern w:val="0"/>
                <w:szCs w:val="21"/>
              </w:rPr>
            </w:pPr>
            <w:r>
              <w:rPr>
                <w:rFonts w:hint="eastAsia" w:ascii="宋体" w:hAnsi="宋体"/>
                <w:color w:val="000000"/>
                <w:szCs w:val="21"/>
              </w:rPr>
              <w:t>10月25日</w:t>
            </w:r>
          </w:p>
        </w:tc>
        <w:tc>
          <w:tcPr>
            <w:tcW w:w="1327"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olor w:val="000000"/>
                <w:kern w:val="0"/>
                <w:szCs w:val="21"/>
              </w:rPr>
              <w:t>①</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6.92</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jc w:val="center"/>
              <w:rPr>
                <w:rFonts w:ascii="宋体" w:hAnsi="宋体"/>
                <w:color w:val="FF0000"/>
                <w:kern w:val="0"/>
                <w:szCs w:val="21"/>
              </w:rPr>
            </w:pPr>
          </w:p>
        </w:tc>
        <w:tc>
          <w:tcPr>
            <w:tcW w:w="1651" w:type="dxa"/>
            <w:vMerge w:val="continue"/>
            <w:tcBorders>
              <w:tl2br w:val="nil"/>
              <w:tr2bl w:val="nil"/>
            </w:tcBorders>
            <w:vAlign w:val="center"/>
          </w:tcPr>
          <w:p>
            <w:pPr>
              <w:jc w:val="center"/>
              <w:rPr>
                <w:rFonts w:ascii="宋体" w:hAnsi="宋体"/>
                <w:color w:val="FF0000"/>
                <w:szCs w:val="21"/>
              </w:rPr>
            </w:pPr>
          </w:p>
        </w:tc>
        <w:tc>
          <w:tcPr>
            <w:tcW w:w="1327" w:type="dxa"/>
            <w:tcBorders>
              <w:tl2br w:val="nil"/>
              <w:tr2bl w:val="nil"/>
            </w:tcBorders>
            <w:vAlign w:val="center"/>
          </w:tcPr>
          <w:p>
            <w:pPr>
              <w:widowControl/>
              <w:jc w:val="center"/>
              <w:rPr>
                <w:rFonts w:ascii="宋体" w:hAnsi="宋体" w:cs="宋体"/>
                <w:color w:val="000000"/>
                <w:kern w:val="0"/>
                <w:szCs w:val="21"/>
              </w:rPr>
            </w:pPr>
            <w:r>
              <w:rPr>
                <w:rFonts w:hint="eastAsia" w:ascii="宋体" w:hAnsi="宋体"/>
                <w:color w:val="000000"/>
                <w:kern w:val="0"/>
                <w:szCs w:val="21"/>
              </w:rPr>
              <w:t>②</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7.04</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80" w:type="dxa"/>
            <w:vMerge w:val="continue"/>
            <w:tcBorders>
              <w:tl2br w:val="nil"/>
              <w:tr2bl w:val="nil"/>
            </w:tcBorders>
            <w:vAlign w:val="center"/>
          </w:tcPr>
          <w:p>
            <w:pPr>
              <w:jc w:val="center"/>
              <w:rPr>
                <w:rFonts w:ascii="宋体" w:hAnsi="宋体"/>
                <w:color w:val="FF0000"/>
                <w:kern w:val="0"/>
                <w:szCs w:val="21"/>
              </w:rPr>
            </w:pPr>
          </w:p>
        </w:tc>
        <w:tc>
          <w:tcPr>
            <w:tcW w:w="1651" w:type="dxa"/>
            <w:vMerge w:val="continue"/>
            <w:tcBorders>
              <w:tl2br w:val="nil"/>
              <w:tr2bl w:val="nil"/>
            </w:tcBorders>
            <w:vAlign w:val="center"/>
          </w:tcPr>
          <w:p>
            <w:pPr>
              <w:jc w:val="center"/>
              <w:rPr>
                <w:rFonts w:ascii="宋体" w:hAnsi="宋体"/>
                <w:color w:val="FF0000"/>
                <w:szCs w:val="21"/>
              </w:rPr>
            </w:pPr>
          </w:p>
        </w:tc>
        <w:tc>
          <w:tcPr>
            <w:tcW w:w="1327"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均值</w:t>
            </w:r>
          </w:p>
        </w:tc>
        <w:tc>
          <w:tcPr>
            <w:tcW w:w="2225"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6.92～7.04</w:t>
            </w:r>
          </w:p>
        </w:tc>
        <w:tc>
          <w:tcPr>
            <w:tcW w:w="2188" w:type="dxa"/>
            <w:tcBorders>
              <w:tl2br w:val="nil"/>
              <w:tr2bl w:val="nil"/>
            </w:tcBorders>
            <w:vAlign w:val="center"/>
          </w:tcPr>
          <w:p>
            <w:pPr>
              <w:jc w:val="center"/>
              <w:rPr>
                <w:rFonts w:ascii="宋体" w:hAnsi="宋体" w:cs="宋体"/>
                <w:color w:val="000000"/>
                <w:szCs w:val="21"/>
              </w:rPr>
            </w:pPr>
            <w:r>
              <w:rPr>
                <w:rFonts w:hint="eastAsia" w:ascii="宋体" w:hAnsi="宋体" w:cs="宋体"/>
                <w:color w:val="000000"/>
                <w:szCs w:val="21"/>
              </w:rPr>
              <w:t>21</w:t>
            </w:r>
          </w:p>
        </w:tc>
      </w:tr>
    </w:tbl>
    <w:p>
      <w:pPr>
        <w:jc w:val="left"/>
        <w:outlineLvl w:val="0"/>
        <w:rPr>
          <w:color w:val="000000" w:themeColor="text1"/>
          <w:sz w:val="28"/>
          <w:szCs w:val="28"/>
        </w:rPr>
      </w:pPr>
      <w:bookmarkStart w:id="235" w:name="_Toc21093_WPSOffice_Level1"/>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color w:val="000000" w:themeColor="text1"/>
          <w:sz w:val="28"/>
          <w:szCs w:val="28"/>
        </w:rPr>
      </w:pPr>
    </w:p>
    <w:p>
      <w:pPr>
        <w:jc w:val="left"/>
        <w:outlineLvl w:val="0"/>
        <w:rPr>
          <w:rFonts w:ascii="宋体" w:hAnsi="宋体" w:cs="宋体"/>
          <w:b/>
          <w:color w:val="FF0000"/>
          <w:sz w:val="28"/>
          <w:szCs w:val="28"/>
        </w:rPr>
      </w:pPr>
      <w:r>
        <w:rPr>
          <w:rFonts w:hint="eastAsia"/>
          <w:color w:val="000000" w:themeColor="text1"/>
          <w:sz w:val="28"/>
          <w:szCs w:val="28"/>
        </w:rPr>
        <w:t>附件一：环评批复</w:t>
      </w:r>
      <w:bookmarkEnd w:id="224"/>
      <w:bookmarkEnd w:id="225"/>
      <w:bookmarkEnd w:id="226"/>
      <w:bookmarkEnd w:id="227"/>
      <w:bookmarkEnd w:id="228"/>
      <w:bookmarkEnd w:id="229"/>
      <w:bookmarkEnd w:id="230"/>
      <w:bookmarkEnd w:id="231"/>
      <w:bookmarkEnd w:id="232"/>
      <w:bookmarkEnd w:id="233"/>
      <w:bookmarkEnd w:id="235"/>
      <w:r>
        <w:rPr>
          <w:rFonts w:hint="eastAsia" w:ascii="宋体" w:hAnsi="宋体" w:cs="宋体"/>
          <w:b/>
          <w:color w:val="000000" w:themeColor="text1"/>
          <w:sz w:val="28"/>
          <w:szCs w:val="28"/>
        </w:rPr>
        <w:t xml:space="preserve">    </w:t>
      </w:r>
      <w:r>
        <w:rPr>
          <w:rFonts w:hint="eastAsia" w:ascii="宋体" w:hAnsi="宋体" w:cs="宋体"/>
          <w:b/>
          <w:color w:val="FF0000"/>
          <w:sz w:val="28"/>
          <w:szCs w:val="28"/>
        </w:rPr>
        <w:t xml:space="preserve">               </w:t>
      </w:r>
    </w:p>
    <w:p>
      <w:pPr>
        <w:spacing w:beforeLines="20" w:afterLines="50"/>
        <w:rPr>
          <w:rFonts w:ascii="宋体" w:hAnsi="宋体" w:cs="宋体"/>
          <w:b/>
          <w:color w:val="FF0000"/>
          <w:sz w:val="28"/>
          <w:szCs w:val="28"/>
        </w:rPr>
      </w:pPr>
      <w:r>
        <w:rPr>
          <w:rFonts w:hint="eastAsia" w:ascii="宋体" w:hAnsi="宋体" w:cs="宋体"/>
          <w:b/>
          <w:color w:val="FF0000"/>
          <w:sz w:val="28"/>
          <w:szCs w:val="28"/>
        </w:rPr>
        <w:t xml:space="preserve">               </w:t>
      </w:r>
      <w:r>
        <w:rPr>
          <w:rFonts w:hint="eastAsia" w:ascii="宋体" w:hAnsi="宋体" w:cs="宋体"/>
          <w:b/>
          <w:color w:val="FF0000"/>
          <w:sz w:val="28"/>
          <w:szCs w:val="28"/>
        </w:rPr>
        <w:drawing>
          <wp:inline distT="0" distB="0" distL="114300" distR="114300">
            <wp:extent cx="5457190" cy="7885430"/>
            <wp:effectExtent l="0" t="0" r="10160" b="1270"/>
            <wp:docPr id="1" name="图片 1" descr="%_T19PQM~$}8D3CLV]WF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T19PQM~$}8D3CLV]WFBKG"/>
                    <pic:cNvPicPr>
                      <a:picLocks noChangeAspect="1"/>
                    </pic:cNvPicPr>
                  </pic:nvPicPr>
                  <pic:blipFill>
                    <a:blip r:embed="rId40" cstate="print"/>
                    <a:stretch>
                      <a:fillRect/>
                    </a:stretch>
                  </pic:blipFill>
                  <pic:spPr>
                    <a:xfrm>
                      <a:off x="0" y="0"/>
                      <a:ext cx="5457190" cy="7885430"/>
                    </a:xfrm>
                    <a:prstGeom prst="rect">
                      <a:avLst/>
                    </a:prstGeom>
                  </pic:spPr>
                </pic:pic>
              </a:graphicData>
            </a:graphic>
          </wp:inline>
        </w:drawing>
      </w:r>
      <w:r>
        <w:rPr>
          <w:rFonts w:hint="eastAsia" w:ascii="宋体" w:hAnsi="宋体" w:cs="宋体"/>
          <w:b/>
          <w:color w:val="FF0000"/>
          <w:sz w:val="28"/>
          <w:szCs w:val="28"/>
        </w:rPr>
        <w:t xml:space="preserve">           </w:t>
      </w:r>
    </w:p>
    <w:p>
      <w:pPr>
        <w:jc w:val="left"/>
        <w:rPr>
          <w:color w:val="FF0000"/>
          <w:sz w:val="28"/>
          <w:szCs w:val="28"/>
        </w:rPr>
      </w:pPr>
      <w:bookmarkStart w:id="236" w:name="_Toc4665"/>
      <w:bookmarkStart w:id="237" w:name="_Toc30039"/>
      <w:bookmarkStart w:id="238" w:name="_Toc21329"/>
      <w:bookmarkStart w:id="239" w:name="_Toc16408"/>
      <w:bookmarkStart w:id="240" w:name="_Toc26205"/>
      <w:bookmarkStart w:id="241" w:name="_Toc18907_WPSOffice_Level1"/>
      <w:bookmarkStart w:id="242" w:name="_Toc3972"/>
      <w:bookmarkStart w:id="243" w:name="_Toc23878"/>
      <w:bookmarkStart w:id="244" w:name="_Toc24015"/>
      <w:bookmarkStart w:id="245" w:name="_Toc5412"/>
    </w:p>
    <w:p>
      <w:pPr>
        <w:jc w:val="left"/>
        <w:rPr>
          <w:color w:val="FF0000"/>
          <w:sz w:val="28"/>
          <w:szCs w:val="28"/>
        </w:rPr>
      </w:pPr>
    </w:p>
    <w:p>
      <w:pPr>
        <w:jc w:val="left"/>
        <w:outlineLvl w:val="0"/>
        <w:rPr>
          <w:color w:val="000000" w:themeColor="text1"/>
          <w:sz w:val="28"/>
          <w:szCs w:val="28"/>
        </w:rPr>
      </w:pPr>
      <w:r>
        <w:rPr>
          <w:rFonts w:hint="eastAsia"/>
          <w:color w:val="000000" w:themeColor="text1"/>
          <w:sz w:val="28"/>
          <w:szCs w:val="28"/>
        </w:rPr>
        <w:t>附件二：废水接管证明</w:t>
      </w:r>
      <w:bookmarkEnd w:id="236"/>
      <w:bookmarkEnd w:id="237"/>
      <w:bookmarkEnd w:id="238"/>
      <w:bookmarkEnd w:id="239"/>
      <w:bookmarkEnd w:id="240"/>
      <w:bookmarkEnd w:id="241"/>
      <w:bookmarkEnd w:id="242"/>
      <w:bookmarkEnd w:id="243"/>
      <w:bookmarkEnd w:id="244"/>
      <w:bookmarkEnd w:id="245"/>
    </w:p>
    <w:p>
      <w:pPr>
        <w:jc w:val="left"/>
        <w:rPr>
          <w:color w:val="FF0000"/>
          <w:sz w:val="28"/>
          <w:szCs w:val="28"/>
        </w:rPr>
      </w:pPr>
      <w:r>
        <w:rPr>
          <w:rFonts w:hint="eastAsia"/>
          <w:color w:val="FF0000"/>
          <w:sz w:val="28"/>
          <w:szCs w:val="28"/>
        </w:rPr>
        <w:drawing>
          <wp:inline distT="0" distB="0" distL="114300" distR="114300">
            <wp:extent cx="5381625" cy="7600950"/>
            <wp:effectExtent l="0" t="0" r="9525" b="0"/>
            <wp:docPr id="37" name="图片 37" descr="QQ图片201812291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81229132736"/>
                    <pic:cNvPicPr>
                      <a:picLocks noChangeAspect="1"/>
                    </pic:cNvPicPr>
                  </pic:nvPicPr>
                  <pic:blipFill>
                    <a:blip r:embed="rId41" cstate="print"/>
                    <a:stretch>
                      <a:fillRect/>
                    </a:stretch>
                  </pic:blipFill>
                  <pic:spPr>
                    <a:xfrm>
                      <a:off x="0" y="0"/>
                      <a:ext cx="5381625" cy="7600950"/>
                    </a:xfrm>
                    <a:prstGeom prst="rect">
                      <a:avLst/>
                    </a:prstGeom>
                  </pic:spPr>
                </pic:pic>
              </a:graphicData>
            </a:graphic>
          </wp:inline>
        </w:drawing>
      </w:r>
    </w:p>
    <w:p>
      <w:pPr>
        <w:spacing w:beforeLines="20" w:afterLines="50" w:line="400" w:lineRule="exact"/>
        <w:rPr>
          <w:color w:val="FF0000"/>
          <w:sz w:val="28"/>
          <w:szCs w:val="28"/>
        </w:rPr>
      </w:pPr>
    </w:p>
    <w:p>
      <w:pPr>
        <w:spacing w:beforeLines="20" w:afterLines="50" w:line="400" w:lineRule="exact"/>
        <w:rPr>
          <w:color w:val="FF0000"/>
          <w:sz w:val="28"/>
          <w:szCs w:val="28"/>
        </w:rPr>
      </w:pPr>
    </w:p>
    <w:p>
      <w:pPr>
        <w:spacing w:beforeLines="20" w:afterLines="50" w:line="400" w:lineRule="exact"/>
        <w:rPr>
          <w:color w:val="FF0000"/>
          <w:sz w:val="28"/>
          <w:szCs w:val="28"/>
        </w:rPr>
      </w:pPr>
    </w:p>
    <w:p>
      <w:pPr>
        <w:spacing w:beforeLines="20" w:afterLines="50"/>
        <w:outlineLvl w:val="0"/>
        <w:rPr>
          <w:color w:val="000000" w:themeColor="text1"/>
          <w:sz w:val="28"/>
          <w:szCs w:val="28"/>
        </w:rPr>
      </w:pPr>
      <w:bookmarkStart w:id="246" w:name="_Toc26528"/>
      <w:bookmarkStart w:id="247" w:name="_Toc3525"/>
      <w:bookmarkStart w:id="248" w:name="_Toc24628"/>
      <w:bookmarkStart w:id="249" w:name="_Toc7062_WPSOffice_Level1"/>
      <w:bookmarkStart w:id="250" w:name="_Toc29703"/>
      <w:bookmarkStart w:id="251" w:name="_Toc17227"/>
      <w:bookmarkStart w:id="252" w:name="_Toc20895"/>
      <w:bookmarkStart w:id="253" w:name="_Toc4121"/>
      <w:bookmarkStart w:id="254" w:name="_Toc24166"/>
      <w:bookmarkStart w:id="255" w:name="_Toc19953"/>
      <w:bookmarkStart w:id="256" w:name="_Toc2780"/>
      <w:r>
        <w:rPr>
          <w:rFonts w:hint="eastAsia"/>
          <w:color w:val="000000" w:themeColor="text1"/>
          <w:sz w:val="28"/>
          <w:szCs w:val="28"/>
        </w:rPr>
        <w:t>附件三：工况统计表</w:t>
      </w:r>
      <w:bookmarkEnd w:id="246"/>
      <w:bookmarkEnd w:id="247"/>
      <w:bookmarkEnd w:id="248"/>
      <w:bookmarkEnd w:id="249"/>
      <w:bookmarkEnd w:id="250"/>
      <w:bookmarkEnd w:id="251"/>
      <w:bookmarkEnd w:id="252"/>
      <w:bookmarkEnd w:id="253"/>
      <w:bookmarkEnd w:id="254"/>
      <w:bookmarkEnd w:id="255"/>
      <w:bookmarkEnd w:id="256"/>
    </w:p>
    <w:p>
      <w:pPr>
        <w:spacing w:beforeLines="20" w:afterLines="50"/>
        <w:rPr>
          <w:color w:val="FF0000"/>
          <w:sz w:val="28"/>
          <w:szCs w:val="28"/>
        </w:rPr>
      </w:pPr>
      <w:r>
        <w:rPr>
          <w:rFonts w:hint="eastAsia"/>
          <w:color w:val="FF0000"/>
          <w:sz w:val="28"/>
          <w:szCs w:val="28"/>
        </w:rPr>
        <w:drawing>
          <wp:inline distT="0" distB="0" distL="114300" distR="114300">
            <wp:extent cx="5071110" cy="8164830"/>
            <wp:effectExtent l="0" t="0" r="15240" b="0"/>
            <wp:docPr id="4" name="图片 4" descr="52328768367645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3287683676459174"/>
                    <pic:cNvPicPr>
                      <a:picLocks noChangeAspect="1"/>
                    </pic:cNvPicPr>
                  </pic:nvPicPr>
                  <pic:blipFill>
                    <a:blip r:embed="rId42" cstate="print"/>
                    <a:srcRect l="-867" t="3871" r="-1008" b="-1128"/>
                    <a:stretch>
                      <a:fillRect/>
                    </a:stretch>
                  </pic:blipFill>
                  <pic:spPr>
                    <a:xfrm>
                      <a:off x="0" y="0"/>
                      <a:ext cx="5071110" cy="8164830"/>
                    </a:xfrm>
                    <a:prstGeom prst="rect">
                      <a:avLst/>
                    </a:prstGeom>
                  </pic:spPr>
                </pic:pic>
              </a:graphicData>
            </a:graphic>
          </wp:inline>
        </w:drawing>
      </w:r>
    </w:p>
    <w:p>
      <w:pPr>
        <w:spacing w:beforeLines="20" w:afterLines="50"/>
        <w:rPr>
          <w:color w:val="FF0000"/>
          <w:sz w:val="28"/>
          <w:szCs w:val="28"/>
        </w:rPr>
      </w:pPr>
    </w:p>
    <w:p>
      <w:pPr>
        <w:spacing w:beforeLines="20" w:afterLines="50"/>
        <w:outlineLvl w:val="0"/>
        <w:rPr>
          <w:color w:val="000000" w:themeColor="text1"/>
          <w:sz w:val="28"/>
          <w:szCs w:val="28"/>
        </w:rPr>
      </w:pPr>
      <w:bookmarkStart w:id="257" w:name="_Toc29966"/>
      <w:bookmarkStart w:id="258" w:name="_Toc29505_WPSOffice_Level1"/>
      <w:bookmarkStart w:id="259" w:name="_Toc13551"/>
      <w:bookmarkStart w:id="260" w:name="_Toc26785"/>
      <w:bookmarkStart w:id="261" w:name="_Toc3944"/>
      <w:bookmarkStart w:id="262" w:name="_Toc20391"/>
      <w:bookmarkStart w:id="263" w:name="_Toc17660"/>
      <w:bookmarkStart w:id="264" w:name="_Toc1559"/>
      <w:bookmarkStart w:id="265" w:name="_Toc30523"/>
      <w:bookmarkStart w:id="266" w:name="_Toc32702"/>
      <w:bookmarkStart w:id="267" w:name="_Toc25990"/>
      <w:r>
        <w:rPr>
          <w:rFonts w:hint="eastAsia"/>
          <w:color w:val="000000" w:themeColor="text1"/>
          <w:sz w:val="28"/>
          <w:szCs w:val="28"/>
        </w:rPr>
        <w:t>附件四：人员培训证书及实验室资质</w:t>
      </w:r>
      <w:bookmarkEnd w:id="257"/>
      <w:bookmarkEnd w:id="258"/>
      <w:bookmarkEnd w:id="259"/>
      <w:bookmarkEnd w:id="260"/>
      <w:bookmarkEnd w:id="261"/>
      <w:bookmarkEnd w:id="262"/>
      <w:bookmarkEnd w:id="263"/>
      <w:bookmarkEnd w:id="264"/>
      <w:bookmarkEnd w:id="265"/>
      <w:bookmarkEnd w:id="266"/>
      <w:bookmarkEnd w:id="267"/>
    </w:p>
    <w:p>
      <w:pPr>
        <w:spacing w:beforeLines="20" w:afterLines="50"/>
        <w:jc w:val="center"/>
        <w:rPr>
          <w:color w:val="FF0000"/>
        </w:rPr>
      </w:pPr>
      <w:r>
        <w:rPr>
          <w:rFonts w:hint="eastAsia" w:ascii="宋体" w:hAnsi="宋体"/>
          <w:color w:val="FF0000"/>
          <w:sz w:val="24"/>
        </w:rPr>
        <w:drawing>
          <wp:inline distT="0" distB="0" distL="114300" distR="114300">
            <wp:extent cx="4110355" cy="2713990"/>
            <wp:effectExtent l="0" t="0" r="4445" b="10160"/>
            <wp:docPr id="6" name="图片 2" descr="吴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吴雨证书"/>
                    <pic:cNvPicPr>
                      <a:picLocks noChangeAspect="1"/>
                    </pic:cNvPicPr>
                  </pic:nvPicPr>
                  <pic:blipFill>
                    <a:blip r:embed="rId43" cstate="print"/>
                    <a:srcRect l="21211" t="19286" r="1804" b="12946"/>
                    <a:stretch>
                      <a:fillRect/>
                    </a:stretch>
                  </pic:blipFill>
                  <pic:spPr>
                    <a:xfrm>
                      <a:off x="0" y="0"/>
                      <a:ext cx="4110355" cy="2713990"/>
                    </a:xfrm>
                    <a:prstGeom prst="rect">
                      <a:avLst/>
                    </a:prstGeom>
                    <a:noFill/>
                    <a:ln w="9525">
                      <a:noFill/>
                    </a:ln>
                  </pic:spPr>
                </pic:pic>
              </a:graphicData>
            </a:graphic>
          </wp:inline>
        </w:drawing>
      </w:r>
      <w:r>
        <w:rPr>
          <w:rFonts w:hint="eastAsia" w:ascii="宋体" w:hAnsi="宋体"/>
          <w:color w:val="FF0000"/>
          <w:sz w:val="24"/>
        </w:rPr>
        <w:drawing>
          <wp:inline distT="0" distB="0" distL="114300" distR="114300">
            <wp:extent cx="4104640" cy="2603500"/>
            <wp:effectExtent l="0" t="0" r="10160" b="6350"/>
            <wp:docPr id="9" name="图片 3" descr="朱晓丽三同时验收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朱晓丽三同时验收证"/>
                    <pic:cNvPicPr>
                      <a:picLocks noChangeAspect="1"/>
                    </pic:cNvPicPr>
                  </pic:nvPicPr>
                  <pic:blipFill>
                    <a:blip r:embed="rId44" cstate="print"/>
                    <a:srcRect l="14670" t="14592" r="14877" b="22234"/>
                    <a:stretch>
                      <a:fillRect/>
                    </a:stretch>
                  </pic:blipFill>
                  <pic:spPr>
                    <a:xfrm>
                      <a:off x="0" y="0"/>
                      <a:ext cx="4104640" cy="2603500"/>
                    </a:xfrm>
                    <a:prstGeom prst="rect">
                      <a:avLst/>
                    </a:prstGeom>
                    <a:noFill/>
                    <a:ln w="9525">
                      <a:noFill/>
                    </a:ln>
                  </pic:spPr>
                </pic:pic>
              </a:graphicData>
            </a:graphic>
          </wp:inline>
        </w:drawing>
      </w:r>
      <w:r>
        <w:rPr>
          <w:color w:val="FF0000"/>
        </w:rPr>
        <w:drawing>
          <wp:inline distT="0" distB="0" distL="114300" distR="114300">
            <wp:extent cx="4118610" cy="2934335"/>
            <wp:effectExtent l="0" t="0" r="15240" b="184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5" cstate="print"/>
                    <a:srcRect l="3275" t="3497" r="1886" b="1984"/>
                    <a:stretch>
                      <a:fillRect/>
                    </a:stretch>
                  </pic:blipFill>
                  <pic:spPr>
                    <a:xfrm>
                      <a:off x="0" y="0"/>
                      <a:ext cx="4118610" cy="2934335"/>
                    </a:xfrm>
                    <a:prstGeom prst="rect">
                      <a:avLst/>
                    </a:prstGeom>
                    <a:noFill/>
                    <a:ln w="9525">
                      <a:noFill/>
                    </a:ln>
                  </pic:spPr>
                </pic:pic>
              </a:graphicData>
            </a:graphic>
          </wp:inline>
        </w:drawing>
      </w:r>
    </w:p>
    <w:p>
      <w:pPr>
        <w:spacing w:beforeLines="20" w:afterLines="50"/>
        <w:jc w:val="center"/>
        <w:rPr>
          <w:color w:val="FF0000"/>
        </w:rPr>
      </w:pPr>
    </w:p>
    <w:p>
      <w:pPr>
        <w:spacing w:beforeLines="20" w:afterLines="50"/>
        <w:jc w:val="center"/>
        <w:rPr>
          <w:color w:val="FF0000"/>
        </w:rPr>
      </w:pPr>
      <w:r>
        <w:rPr>
          <w:rFonts w:hint="eastAsia"/>
          <w:color w:val="FF0000"/>
        </w:rPr>
        <w:drawing>
          <wp:inline distT="0" distB="0" distL="114300" distR="114300">
            <wp:extent cx="5731510" cy="8126730"/>
            <wp:effectExtent l="0" t="0" r="2540" b="7620"/>
            <wp:docPr id="12" name="图片 12" descr="新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资质"/>
                    <pic:cNvPicPr>
                      <a:picLocks noChangeAspect="1"/>
                    </pic:cNvPicPr>
                  </pic:nvPicPr>
                  <pic:blipFill>
                    <a:blip r:embed="rId46" cstate="print"/>
                    <a:stretch>
                      <a:fillRect/>
                    </a:stretch>
                  </pic:blipFill>
                  <pic:spPr>
                    <a:xfrm>
                      <a:off x="0" y="0"/>
                      <a:ext cx="5731510" cy="8126730"/>
                    </a:xfrm>
                    <a:prstGeom prst="rect">
                      <a:avLst/>
                    </a:prstGeom>
                  </pic:spPr>
                </pic:pic>
              </a:graphicData>
            </a:graphic>
          </wp:inline>
        </w:drawing>
      </w:r>
    </w:p>
    <w:p>
      <w:pPr>
        <w:spacing w:beforeLines="20" w:afterLines="50"/>
        <w:jc w:val="center"/>
        <w:rPr>
          <w:color w:val="FF0000"/>
        </w:rPr>
      </w:pPr>
    </w:p>
    <w:p>
      <w:pPr>
        <w:spacing w:beforeLines="20" w:afterLines="50"/>
        <w:jc w:val="center"/>
        <w:rPr>
          <w:color w:val="FF0000"/>
        </w:rPr>
      </w:pPr>
    </w:p>
    <w:p>
      <w:pPr>
        <w:spacing w:beforeLines="20" w:afterLines="50"/>
        <w:outlineLvl w:val="0"/>
        <w:rPr>
          <w:i/>
          <w:iCs/>
          <w:color w:val="FF0000"/>
          <w:sz w:val="28"/>
          <w:szCs w:val="28"/>
        </w:rPr>
        <w:sectPr>
          <w:pgSz w:w="11906" w:h="16838"/>
          <w:pgMar w:top="1440" w:right="1588" w:bottom="1134" w:left="1588" w:header="851" w:footer="992" w:gutter="0"/>
          <w:cols w:space="720" w:num="1"/>
          <w:docGrid w:linePitch="312" w:charSpace="0"/>
        </w:sectPr>
      </w:pPr>
    </w:p>
    <w:p>
      <w:pPr>
        <w:spacing w:beforeLines="20" w:afterLines="50" w:line="400" w:lineRule="exact"/>
        <w:jc w:val="center"/>
        <w:outlineLvl w:val="0"/>
        <w:rPr>
          <w:b/>
          <w:color w:val="000000" w:themeColor="text1"/>
          <w:sz w:val="36"/>
          <w:szCs w:val="36"/>
        </w:rPr>
      </w:pPr>
      <w:bookmarkStart w:id="268" w:name="_Toc31602"/>
      <w:bookmarkStart w:id="269" w:name="_Toc7117"/>
      <w:bookmarkStart w:id="270" w:name="_Toc18294"/>
      <w:bookmarkStart w:id="271" w:name="_Toc13447"/>
      <w:bookmarkStart w:id="272" w:name="_Toc30729"/>
      <w:bookmarkStart w:id="273" w:name="_Toc6542"/>
      <w:bookmarkStart w:id="274" w:name="_Toc10215"/>
      <w:bookmarkStart w:id="275" w:name="_Toc9828"/>
      <w:bookmarkStart w:id="276" w:name="_Toc8064"/>
      <w:bookmarkStart w:id="277" w:name="_Toc6880"/>
      <w:r>
        <w:rPr>
          <w:rFonts w:hint="eastAsia"/>
          <w:b/>
          <w:color w:val="000000" w:themeColor="text1"/>
          <w:sz w:val="36"/>
          <w:szCs w:val="36"/>
        </w:rPr>
        <w:t>建设项目工程竣工环境保护“三同时”验收登记表</w:t>
      </w:r>
      <w:bookmarkEnd w:id="268"/>
      <w:bookmarkEnd w:id="269"/>
      <w:bookmarkEnd w:id="270"/>
      <w:bookmarkEnd w:id="271"/>
      <w:bookmarkEnd w:id="272"/>
      <w:bookmarkEnd w:id="273"/>
      <w:bookmarkEnd w:id="274"/>
      <w:bookmarkEnd w:id="275"/>
      <w:bookmarkEnd w:id="276"/>
      <w:bookmarkEnd w:id="277"/>
    </w:p>
    <w:p>
      <w:pPr>
        <w:spacing w:line="400" w:lineRule="exact"/>
        <w:rPr>
          <w:b/>
          <w:color w:val="000000" w:themeColor="text1"/>
          <w:szCs w:val="21"/>
        </w:rPr>
      </w:pPr>
      <w:bookmarkStart w:id="278" w:name="_Toc26648"/>
      <w:bookmarkStart w:id="279" w:name="_Toc2266"/>
      <w:bookmarkStart w:id="280" w:name="_Toc1480"/>
      <w:bookmarkStart w:id="281" w:name="_Toc25830"/>
      <w:bookmarkStart w:id="282" w:name="_Toc30801"/>
      <w:bookmarkStart w:id="283" w:name="_Toc11692"/>
      <w:bookmarkStart w:id="284" w:name="_Toc22737"/>
      <w:bookmarkStart w:id="285" w:name="_Toc26136_WPSOffice_Level1"/>
      <w:bookmarkStart w:id="286" w:name="_Toc16704"/>
      <w:bookmarkStart w:id="287" w:name="_Toc27765"/>
      <w:bookmarkStart w:id="288" w:name="_Toc20957"/>
      <w:bookmarkStart w:id="289" w:name="_Toc32734"/>
      <w:r>
        <w:rPr>
          <w:rFonts w:hint="eastAsia"/>
          <w:b/>
          <w:color w:val="000000" w:themeColor="text1"/>
          <w:szCs w:val="21"/>
        </w:rPr>
        <w:t xml:space="preserve">填表单位(盖章):  </w:t>
      </w:r>
      <w:r>
        <w:rPr>
          <w:rFonts w:hint="eastAsia"/>
          <w:color w:val="000000" w:themeColor="text1"/>
          <w:szCs w:val="21"/>
        </w:rPr>
        <w:t>南京高博环境科技有限公司</w:t>
      </w:r>
      <w:r>
        <w:rPr>
          <w:rFonts w:hint="eastAsia"/>
          <w:b/>
          <w:color w:val="000000" w:themeColor="text1"/>
          <w:szCs w:val="21"/>
        </w:rPr>
        <w:t xml:space="preserve">                                                             填表人：</w:t>
      </w:r>
      <w:r>
        <w:rPr>
          <w:rFonts w:hint="eastAsia"/>
          <w:color w:val="000000" w:themeColor="text1"/>
          <w:szCs w:val="21"/>
        </w:rPr>
        <w:t>吴雨</w:t>
      </w:r>
      <w:r>
        <w:rPr>
          <w:rFonts w:hint="eastAsia"/>
          <w:b/>
          <w:color w:val="000000" w:themeColor="text1"/>
          <w:szCs w:val="21"/>
        </w:rPr>
        <w:t xml:space="preserve">        项目经办人:</w:t>
      </w:r>
      <w:bookmarkEnd w:id="278"/>
      <w:bookmarkEnd w:id="279"/>
      <w:bookmarkEnd w:id="280"/>
      <w:bookmarkEnd w:id="281"/>
      <w:bookmarkEnd w:id="282"/>
      <w:bookmarkEnd w:id="283"/>
      <w:bookmarkEnd w:id="284"/>
      <w:bookmarkEnd w:id="285"/>
      <w:bookmarkEnd w:id="286"/>
      <w:bookmarkEnd w:id="287"/>
      <w:bookmarkEnd w:id="288"/>
      <w:bookmarkEnd w:id="289"/>
      <w:r>
        <w:rPr>
          <w:rFonts w:hint="eastAsia"/>
          <w:color w:val="000000" w:themeColor="text1"/>
          <w:szCs w:val="21"/>
        </w:rPr>
        <w:t>吴雨</w:t>
      </w:r>
    </w:p>
    <w:tbl>
      <w:tblPr>
        <w:tblStyle w:val="12"/>
        <w:tblW w:w="1551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64"/>
        <w:gridCol w:w="1074"/>
        <w:gridCol w:w="681"/>
        <w:gridCol w:w="809"/>
        <w:gridCol w:w="1347"/>
        <w:gridCol w:w="1"/>
        <w:gridCol w:w="893"/>
        <w:gridCol w:w="179"/>
        <w:gridCol w:w="964"/>
        <w:gridCol w:w="6"/>
        <w:gridCol w:w="273"/>
        <w:gridCol w:w="323"/>
        <w:gridCol w:w="478"/>
        <w:gridCol w:w="1111"/>
        <w:gridCol w:w="269"/>
        <w:gridCol w:w="853"/>
        <w:gridCol w:w="1189"/>
        <w:gridCol w:w="1409"/>
        <w:gridCol w:w="252"/>
        <w:gridCol w:w="964"/>
        <w:gridCol w:w="84"/>
        <w:gridCol w:w="992"/>
        <w:gridCol w:w="1"/>
        <w:gridCol w:w="7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restart"/>
            <w:tcMar>
              <w:left w:w="57" w:type="dxa"/>
              <w:right w:w="57" w:type="dxa"/>
            </w:tcMar>
            <w:textDirection w:val="tbRlV"/>
            <w:vAlign w:val="center"/>
          </w:tcPr>
          <w:p>
            <w:pPr>
              <w:keepNext w:val="0"/>
              <w:keepLines w:val="0"/>
              <w:pageBreakBefore w:val="0"/>
              <w:kinsoku/>
              <w:wordWrap/>
              <w:overflowPunct/>
              <w:topLinePunct w:val="0"/>
              <w:autoSpaceDE/>
              <w:autoSpaceDN/>
              <w:bidi w:val="0"/>
              <w:adjustRightInd/>
              <w:snapToGrid/>
              <w:spacing w:line="240" w:lineRule="atLeast"/>
              <w:ind w:left="113" w:right="113"/>
              <w:jc w:val="center"/>
              <w:rPr>
                <w:rFonts w:ascii="宋体" w:hAnsi="宋体" w:cs="宋体"/>
                <w:b/>
                <w:color w:val="000000" w:themeColor="text1"/>
                <w:sz w:val="15"/>
                <w:szCs w:val="15"/>
              </w:rPr>
            </w:pPr>
            <w:r>
              <w:rPr>
                <w:rFonts w:hint="eastAsia" w:ascii="宋体" w:hAnsi="宋体" w:cs="宋体"/>
                <w:b/>
                <w:color w:val="000000" w:themeColor="text1"/>
                <w:sz w:val="15"/>
                <w:szCs w:val="15"/>
              </w:rPr>
              <w:t>建设项目</w:t>
            </w: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项目名称</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自承式轻质钢筋桁架楼承板（第五代）生产线项目</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项目代码</w:t>
            </w:r>
          </w:p>
        </w:tc>
        <w:tc>
          <w:tcPr>
            <w:tcW w:w="204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ind w:firstLine="450" w:firstLineChars="300"/>
              <w:rPr>
                <w:rFonts w:ascii="宋体" w:hAnsi="宋体" w:cs="宋体"/>
                <w:color w:val="000000" w:themeColor="text1"/>
                <w:sz w:val="15"/>
                <w:szCs w:val="15"/>
              </w:rPr>
            </w:pPr>
            <w:r>
              <w:rPr>
                <w:rFonts w:hint="eastAsia" w:ascii="宋体" w:hAnsi="宋体" w:cs="宋体"/>
                <w:color w:val="000000" w:themeColor="text1"/>
                <w:sz w:val="15"/>
                <w:szCs w:val="15"/>
              </w:rPr>
              <w:t>/</w:t>
            </w:r>
          </w:p>
        </w:tc>
        <w:tc>
          <w:tcPr>
            <w:tcW w:w="1661"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建设地点</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南京市</w:t>
            </w:r>
            <w:r>
              <w:rPr>
                <w:rFonts w:hint="eastAsia" w:ascii="宋体" w:hAnsi="宋体" w:cs="宋体"/>
                <w:bCs/>
                <w:color w:val="000000" w:themeColor="text1"/>
                <w:sz w:val="15"/>
                <w:szCs w:val="15"/>
              </w:rPr>
              <w:t>六合经济开发区新港湾路以东，云海玻璃以西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行业类别（分类管理名录）</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C3411 金属结构制造</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建设性质</w:t>
            </w:r>
          </w:p>
        </w:tc>
        <w:tc>
          <w:tcPr>
            <w:tcW w:w="3703" w:type="dxa"/>
            <w:gridSpan w:val="4"/>
            <w:tcMar>
              <w:left w:w="57" w:type="dxa"/>
              <w:right w:w="57" w:type="dxa"/>
            </w:tcMar>
            <w:vAlign w:val="center"/>
          </w:tcPr>
          <w:p>
            <w:pPr>
              <w:spacing w:line="260" w:lineRule="exact"/>
              <w:rPr>
                <w:rFonts w:ascii="宋体" w:hAnsi="宋体" w:cs="宋体"/>
                <w:color w:val="000000" w:themeColor="text1"/>
                <w:sz w:val="15"/>
                <w:szCs w:val="15"/>
              </w:rPr>
            </w:pPr>
            <w:r>
              <w:rPr>
                <w:rFonts w:hint="eastAsia" w:ascii="宋体" w:hAnsi="宋体" w:cs="宋体"/>
                <w:b/>
                <w:color w:val="000000" w:themeColor="text1"/>
                <w:sz w:val="15"/>
                <w:szCs w:val="15"/>
              </w:rPr>
              <w:t>■</w:t>
            </w:r>
            <w:r>
              <w:rPr>
                <w:rFonts w:hint="eastAsia" w:ascii="仿宋" w:hAnsi="仿宋" w:eastAsia="仿宋" w:cs="仿宋"/>
                <w:color w:val="auto"/>
                <w:sz w:val="15"/>
                <w:szCs w:val="15"/>
                <w:lang w:eastAsia="zh-CN"/>
              </w:rPr>
              <w:t>新建</w:t>
            </w:r>
            <w:r>
              <w:rPr>
                <w:rFonts w:hint="eastAsia" w:ascii="宋体" w:hAnsi="宋体" w:cs="宋体"/>
                <w:b/>
                <w:color w:val="000000" w:themeColor="text1"/>
                <w:sz w:val="15"/>
                <w:szCs w:val="15"/>
              </w:rPr>
              <w:t xml:space="preserve">    □改扩建  □技术改造</w:t>
            </w:r>
          </w:p>
        </w:tc>
        <w:tc>
          <w:tcPr>
            <w:tcW w:w="1048" w:type="dxa"/>
            <w:gridSpan w:val="2"/>
            <w:tcMar>
              <w:left w:w="57" w:type="dxa"/>
              <w:right w:w="57" w:type="dxa"/>
            </w:tcMar>
          </w:tcPr>
          <w:p>
            <w:pPr>
              <w:spacing w:line="240" w:lineRule="auto"/>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项目厂区中心</w:t>
            </w:r>
          </w:p>
          <w:p>
            <w:pPr>
              <w:spacing w:line="240" w:lineRule="auto"/>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经度/纬度</w:t>
            </w:r>
          </w:p>
        </w:tc>
        <w:tc>
          <w:tcPr>
            <w:tcW w:w="1769" w:type="dxa"/>
            <w:gridSpan w:val="3"/>
            <w:tcMar>
              <w:left w:w="57" w:type="dxa"/>
              <w:right w:w="57" w:type="dxa"/>
            </w:tcMar>
          </w:tcPr>
          <w:p>
            <w:pPr>
              <w:spacing w:line="240" w:lineRule="auto"/>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N32°13′55.37″</w:t>
            </w:r>
          </w:p>
          <w:p>
            <w:pPr>
              <w:spacing w:line="240" w:lineRule="auto"/>
              <w:rPr>
                <w:rFonts w:hint="eastAsia" w:ascii="宋体" w:hAnsi="宋体" w:eastAsia="宋体" w:cs="宋体"/>
                <w:b/>
                <w:color w:val="000000" w:themeColor="text1"/>
                <w:sz w:val="15"/>
                <w:szCs w:val="15"/>
              </w:rPr>
            </w:pPr>
            <w:r>
              <w:rPr>
                <w:rFonts w:hint="eastAsia" w:ascii="宋体" w:hAnsi="宋体" w:eastAsia="宋体" w:cs="宋体"/>
                <w:b w:val="0"/>
                <w:bCs/>
                <w:color w:val="000000" w:themeColor="text1"/>
                <w:sz w:val="15"/>
                <w:szCs w:val="15"/>
              </w:rPr>
              <w:t>E118°44′2.14″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设计生产能力</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年产钢筋桁架楼承板5万吨、压型钢板2万吨、冷弯型刚3万吨</w:t>
            </w:r>
          </w:p>
        </w:tc>
        <w:tc>
          <w:tcPr>
            <w:tcW w:w="1858" w:type="dxa"/>
            <w:gridSpan w:val="3"/>
            <w:tcMar>
              <w:left w:w="57" w:type="dxa"/>
              <w:right w:w="57" w:type="dxa"/>
            </w:tcMar>
          </w:tcPr>
          <w:p>
            <w:pPr>
              <w:rPr>
                <w:rFonts w:hint="eastAsia" w:ascii="宋体" w:hAnsi="宋体" w:eastAsia="宋体" w:cs="宋体"/>
                <w:color w:val="000000" w:themeColor="text1"/>
                <w:sz w:val="15"/>
                <w:szCs w:val="15"/>
                <w:lang w:eastAsia="zh-CN"/>
              </w:rPr>
            </w:pPr>
            <w:r>
              <w:rPr>
                <w:rFonts w:hint="eastAsia" w:ascii="宋体" w:hAnsi="宋体" w:eastAsia="宋体" w:cs="宋体"/>
                <w:color w:val="000000" w:themeColor="text1"/>
                <w:sz w:val="15"/>
                <w:szCs w:val="15"/>
                <w:lang w:eastAsia="zh-CN"/>
              </w:rPr>
              <w:t>实际生产能力</w:t>
            </w:r>
          </w:p>
        </w:tc>
        <w:tc>
          <w:tcPr>
            <w:tcW w:w="3703" w:type="dxa"/>
            <w:gridSpan w:val="4"/>
            <w:tcMar>
              <w:left w:w="57" w:type="dxa"/>
              <w:right w:w="57" w:type="dxa"/>
            </w:tcMar>
            <w:vAlign w:val="center"/>
          </w:tcPr>
          <w:p>
            <w:pPr>
              <w:spacing w:line="240" w:lineRule="auto"/>
              <w:rPr>
                <w:rFonts w:hint="eastAsia" w:ascii="宋体" w:hAnsi="宋体" w:eastAsia="宋体" w:cs="宋体"/>
                <w:color w:val="000000" w:themeColor="text1"/>
                <w:sz w:val="15"/>
                <w:szCs w:val="15"/>
                <w:lang w:eastAsia="zh-CN"/>
              </w:rPr>
            </w:pPr>
            <w:r>
              <w:rPr>
                <w:rFonts w:hint="eastAsia" w:ascii="宋体" w:hAnsi="宋体" w:eastAsia="宋体" w:cs="宋体"/>
                <w:color w:val="000000" w:themeColor="text1"/>
                <w:sz w:val="15"/>
                <w:szCs w:val="15"/>
                <w:lang w:eastAsia="zh-CN"/>
              </w:rPr>
              <w:t>年产钢筋桁架楼承板1.5万吨，年产压型钢板0.4万吨，年产冷弯型钢0.1万吨</w:t>
            </w:r>
          </w:p>
        </w:tc>
        <w:tc>
          <w:tcPr>
            <w:tcW w:w="1048"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环评单位</w:t>
            </w:r>
          </w:p>
        </w:tc>
        <w:tc>
          <w:tcPr>
            <w:tcW w:w="176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Cs/>
                <w:color w:val="000000" w:themeColor="text1"/>
                <w:sz w:val="15"/>
                <w:szCs w:val="15"/>
              </w:rPr>
              <w:t>南京科泓环保技术有限责任公司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环评文件审批机关</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color w:val="000000" w:themeColor="text1"/>
                <w:sz w:val="15"/>
                <w:szCs w:val="15"/>
              </w:rPr>
              <w:t>南京市六合区环境保护局</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 xml:space="preserve">审批文号 </w:t>
            </w:r>
          </w:p>
        </w:tc>
        <w:tc>
          <w:tcPr>
            <w:tcW w:w="204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六环表复[</w:t>
            </w:r>
            <w:r>
              <w:rPr>
                <w:rFonts w:ascii="宋体" w:hAnsi="宋体" w:cs="宋体"/>
                <w:color w:val="000000" w:themeColor="text1"/>
                <w:sz w:val="15"/>
                <w:szCs w:val="15"/>
              </w:rPr>
              <w:t>201</w:t>
            </w:r>
            <w:r>
              <w:rPr>
                <w:rFonts w:hint="eastAsia" w:ascii="宋体" w:hAnsi="宋体" w:cs="宋体"/>
                <w:color w:val="000000" w:themeColor="text1"/>
                <w:sz w:val="15"/>
                <w:szCs w:val="15"/>
              </w:rPr>
              <w:t>4]045</w:t>
            </w:r>
            <w:r>
              <w:rPr>
                <w:rFonts w:ascii="宋体" w:hAnsi="宋体" w:cs="宋体"/>
                <w:color w:val="000000" w:themeColor="text1"/>
                <w:sz w:val="15"/>
                <w:szCs w:val="15"/>
              </w:rPr>
              <w:t>号</w:t>
            </w:r>
          </w:p>
        </w:tc>
        <w:tc>
          <w:tcPr>
            <w:tcW w:w="1661"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环评文件类型</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auto"/>
                <w:sz w:val="15"/>
                <w:szCs w:val="15"/>
              </w:rPr>
            </w:pPr>
            <w:r>
              <w:rPr>
                <w:rFonts w:hint="eastAsia" w:ascii="宋体" w:hAnsi="宋体" w:cs="宋体"/>
                <w:b/>
                <w:color w:val="auto"/>
                <w:sz w:val="15"/>
                <w:szCs w:val="15"/>
              </w:rPr>
              <w:t>开工日期</w:t>
            </w:r>
          </w:p>
        </w:tc>
        <w:tc>
          <w:tcPr>
            <w:tcW w:w="4795" w:type="dxa"/>
            <w:gridSpan w:val="9"/>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auto"/>
                <w:sz w:val="15"/>
                <w:szCs w:val="15"/>
              </w:rPr>
            </w:pPr>
            <w:r>
              <w:rPr>
                <w:rFonts w:hint="eastAsia" w:ascii="宋体" w:hAnsi="宋体" w:cs="宋体"/>
                <w:color w:val="auto"/>
                <w:sz w:val="15"/>
                <w:szCs w:val="15"/>
              </w:rPr>
              <w:t>2016年6月</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auto"/>
                <w:sz w:val="15"/>
                <w:szCs w:val="15"/>
              </w:rPr>
            </w:pPr>
            <w:r>
              <w:rPr>
                <w:rFonts w:hint="eastAsia" w:ascii="宋体" w:hAnsi="宋体" w:cs="宋体"/>
                <w:b/>
                <w:color w:val="auto"/>
                <w:sz w:val="15"/>
                <w:szCs w:val="15"/>
              </w:rPr>
              <w:t>竣工日期</w:t>
            </w:r>
          </w:p>
        </w:tc>
        <w:tc>
          <w:tcPr>
            <w:tcW w:w="204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auto"/>
                <w:sz w:val="15"/>
                <w:szCs w:val="15"/>
              </w:rPr>
            </w:pPr>
            <w:r>
              <w:rPr>
                <w:rFonts w:hint="eastAsia" w:ascii="宋体" w:hAnsi="宋体" w:cs="宋体"/>
                <w:color w:val="auto"/>
                <w:sz w:val="15"/>
                <w:szCs w:val="15"/>
              </w:rPr>
              <w:t>201</w:t>
            </w:r>
            <w:r>
              <w:rPr>
                <w:rFonts w:hint="eastAsia" w:ascii="宋体" w:hAnsi="宋体" w:cs="宋体"/>
                <w:color w:val="auto"/>
                <w:sz w:val="15"/>
                <w:szCs w:val="15"/>
                <w:lang w:val="en-US" w:eastAsia="zh-CN"/>
              </w:rPr>
              <w:t>8</w:t>
            </w:r>
            <w:r>
              <w:rPr>
                <w:rFonts w:hint="eastAsia" w:ascii="宋体" w:hAnsi="宋体" w:cs="宋体"/>
                <w:color w:val="auto"/>
                <w:sz w:val="15"/>
                <w:szCs w:val="15"/>
              </w:rPr>
              <w:t>年</w:t>
            </w:r>
            <w:r>
              <w:rPr>
                <w:rFonts w:hint="eastAsia" w:ascii="宋体" w:hAnsi="宋体" w:cs="宋体"/>
                <w:color w:val="auto"/>
                <w:sz w:val="15"/>
                <w:szCs w:val="15"/>
                <w:lang w:val="en-US" w:eastAsia="zh-CN"/>
              </w:rPr>
              <w:t>3</w:t>
            </w:r>
            <w:r>
              <w:rPr>
                <w:rFonts w:hint="eastAsia" w:ascii="宋体" w:hAnsi="宋体" w:cs="宋体"/>
                <w:color w:val="auto"/>
                <w:sz w:val="15"/>
                <w:szCs w:val="15"/>
              </w:rPr>
              <w:t>月</w:t>
            </w:r>
          </w:p>
        </w:tc>
        <w:tc>
          <w:tcPr>
            <w:tcW w:w="1661"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排污许可证申领时间</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环保设施设计单位</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环保设施施工单位</w:t>
            </w:r>
          </w:p>
        </w:tc>
        <w:tc>
          <w:tcPr>
            <w:tcW w:w="204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w:t>
            </w:r>
          </w:p>
        </w:tc>
        <w:tc>
          <w:tcPr>
            <w:tcW w:w="1661"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本工程排污许可证编号</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验收单位</w:t>
            </w:r>
          </w:p>
        </w:tc>
        <w:tc>
          <w:tcPr>
            <w:tcW w:w="4795" w:type="dxa"/>
            <w:gridSpan w:val="9"/>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distribute"/>
              <w:rPr>
                <w:rFonts w:ascii="宋体" w:hAnsi="宋体" w:cs="宋体"/>
                <w:b/>
                <w:color w:val="000000" w:themeColor="text1"/>
                <w:sz w:val="15"/>
                <w:szCs w:val="15"/>
              </w:rPr>
            </w:pPr>
            <w:r>
              <w:rPr>
                <w:rFonts w:hint="eastAsia" w:ascii="宋体" w:hAnsi="宋体" w:cs="宋体"/>
                <w:bCs/>
                <w:color w:val="000000" w:themeColor="text1"/>
                <w:sz w:val="15"/>
                <w:szCs w:val="15"/>
              </w:rPr>
              <w:t>/</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环保设施监测单位</w:t>
            </w:r>
          </w:p>
        </w:tc>
        <w:tc>
          <w:tcPr>
            <w:tcW w:w="204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南京高博环境科技有限公司</w:t>
            </w:r>
          </w:p>
        </w:tc>
        <w:tc>
          <w:tcPr>
            <w:tcW w:w="1661"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验收监测时工况</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color w:val="000000" w:themeColor="text1"/>
                <w:sz w:val="15"/>
                <w:szCs w:val="15"/>
              </w:rPr>
              <w:t>&gt;75%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投资总概算（万元）</w:t>
            </w:r>
          </w:p>
        </w:tc>
        <w:tc>
          <w:tcPr>
            <w:tcW w:w="4795" w:type="dxa"/>
            <w:gridSpan w:val="9"/>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Cs/>
                <w:color w:val="000000" w:themeColor="text1"/>
                <w:sz w:val="15"/>
                <w:szCs w:val="15"/>
              </w:rPr>
            </w:pPr>
            <w:r>
              <w:rPr>
                <w:rFonts w:hint="eastAsia" w:ascii="宋体" w:hAnsi="宋体" w:cs="宋体"/>
                <w:bCs/>
                <w:color w:val="000000" w:themeColor="text1"/>
                <w:sz w:val="15"/>
                <w:szCs w:val="15"/>
              </w:rPr>
              <w:t>20000</w:t>
            </w:r>
          </w:p>
        </w:tc>
        <w:tc>
          <w:tcPr>
            <w:tcW w:w="1858" w:type="dxa"/>
            <w:gridSpan w:val="3"/>
            <w:tcMar>
              <w:left w:w="57" w:type="dxa"/>
              <w:right w:w="57" w:type="dxa"/>
            </w:tcMar>
            <w:vAlign w:val="center"/>
          </w:tcPr>
          <w:p>
            <w:pPr>
              <w:keepNext w:val="0"/>
              <w:keepLines w:val="0"/>
              <w:pageBreakBefore w:val="0"/>
              <w:tabs>
                <w:tab w:val="left" w:pos="690"/>
              </w:tabs>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环保投资总概算（万元）</w:t>
            </w:r>
          </w:p>
        </w:tc>
        <w:tc>
          <w:tcPr>
            <w:tcW w:w="204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Cs/>
                <w:color w:val="000000" w:themeColor="text1"/>
                <w:sz w:val="15"/>
                <w:szCs w:val="15"/>
              </w:rPr>
            </w:pPr>
            <w:r>
              <w:rPr>
                <w:rFonts w:hint="eastAsia" w:ascii="宋体" w:hAnsi="宋体" w:cs="宋体"/>
                <w:bCs/>
                <w:color w:val="000000" w:themeColor="text1"/>
                <w:sz w:val="15"/>
                <w:szCs w:val="15"/>
              </w:rPr>
              <w:t>15</w:t>
            </w:r>
          </w:p>
        </w:tc>
        <w:tc>
          <w:tcPr>
            <w:tcW w:w="1661" w:type="dxa"/>
            <w:gridSpan w:val="2"/>
            <w:tcMar>
              <w:left w:w="57" w:type="dxa"/>
              <w:right w:w="57" w:type="dxa"/>
            </w:tcMar>
            <w:vAlign w:val="center"/>
          </w:tcPr>
          <w:p>
            <w:pPr>
              <w:keepNext w:val="0"/>
              <w:keepLines w:val="0"/>
              <w:pageBreakBefore w:val="0"/>
              <w:tabs>
                <w:tab w:val="left" w:pos="690"/>
              </w:tabs>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所占比例（%）</w:t>
            </w:r>
          </w:p>
        </w:tc>
        <w:tc>
          <w:tcPr>
            <w:tcW w:w="2817" w:type="dxa"/>
            <w:gridSpan w:val="5"/>
            <w:tcMar>
              <w:left w:w="57" w:type="dxa"/>
              <w:right w:w="57" w:type="dxa"/>
            </w:tcMar>
            <w:vAlign w:val="center"/>
          </w:tcPr>
          <w:p>
            <w:pPr>
              <w:keepNext w:val="0"/>
              <w:keepLines w:val="0"/>
              <w:pageBreakBefore w:val="0"/>
              <w:tabs>
                <w:tab w:val="left" w:pos="690"/>
              </w:tabs>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color w:val="000000" w:themeColor="text1"/>
                <w:sz w:val="15"/>
                <w:szCs w:val="15"/>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实际总投资</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Cs/>
                <w:color w:val="000000" w:themeColor="text1"/>
                <w:sz w:val="15"/>
                <w:szCs w:val="15"/>
              </w:rPr>
            </w:pPr>
            <w:r>
              <w:rPr>
                <w:rFonts w:hint="eastAsia" w:ascii="宋体" w:hAnsi="宋体" w:cs="宋体"/>
                <w:bCs/>
                <w:color w:val="000000" w:themeColor="text1"/>
                <w:sz w:val="15"/>
                <w:szCs w:val="15"/>
              </w:rPr>
              <w:t>1500</w:t>
            </w:r>
          </w:p>
        </w:tc>
        <w:tc>
          <w:tcPr>
            <w:tcW w:w="1858"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ind w:right="300"/>
              <w:rPr>
                <w:rFonts w:ascii="宋体" w:hAnsi="宋体" w:cs="宋体"/>
                <w:b/>
                <w:color w:val="000000" w:themeColor="text1"/>
                <w:sz w:val="15"/>
                <w:szCs w:val="15"/>
              </w:rPr>
            </w:pPr>
            <w:r>
              <w:rPr>
                <w:rFonts w:hint="eastAsia" w:ascii="宋体" w:hAnsi="宋体" w:cs="宋体"/>
                <w:b/>
                <w:color w:val="000000" w:themeColor="text1"/>
                <w:sz w:val="15"/>
                <w:szCs w:val="15"/>
              </w:rPr>
              <w:t>实际环保投资（万元）</w:t>
            </w:r>
          </w:p>
        </w:tc>
        <w:tc>
          <w:tcPr>
            <w:tcW w:w="204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Cs/>
                <w:color w:val="000000" w:themeColor="text1"/>
                <w:sz w:val="15"/>
                <w:szCs w:val="15"/>
              </w:rPr>
            </w:pPr>
            <w:r>
              <w:rPr>
                <w:rFonts w:hint="eastAsia" w:ascii="宋体" w:hAnsi="宋体" w:cs="宋体"/>
                <w:bCs/>
                <w:color w:val="000000" w:themeColor="text1"/>
                <w:sz w:val="15"/>
                <w:szCs w:val="15"/>
              </w:rPr>
              <w:t>10</w:t>
            </w:r>
          </w:p>
        </w:tc>
        <w:tc>
          <w:tcPr>
            <w:tcW w:w="1661"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所占比例（%）</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color w:val="000000" w:themeColor="text1"/>
                <w:sz w:val="15"/>
                <w:szCs w:val="15"/>
              </w:rPr>
              <w:t>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废水治理（万元）</w:t>
            </w:r>
          </w:p>
        </w:tc>
        <w:tc>
          <w:tcPr>
            <w:tcW w:w="809"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1347"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
                <w:color w:val="000000" w:themeColor="text1"/>
                <w:sz w:val="15"/>
                <w:szCs w:val="15"/>
              </w:rPr>
              <w:t>废气治理（万元）</w:t>
            </w:r>
          </w:p>
        </w:tc>
        <w:tc>
          <w:tcPr>
            <w:tcW w:w="894"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1422" w:type="dxa"/>
            <w:gridSpan w:val="4"/>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
                <w:color w:val="000000" w:themeColor="text1"/>
                <w:sz w:val="15"/>
                <w:szCs w:val="15"/>
              </w:rPr>
              <w:t>噪声治理（万元）</w:t>
            </w:r>
          </w:p>
        </w:tc>
        <w:tc>
          <w:tcPr>
            <w:tcW w:w="323"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2711" w:type="dxa"/>
            <w:gridSpan w:val="4"/>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固体废物治理（万元）</w:t>
            </w:r>
          </w:p>
        </w:tc>
        <w:tc>
          <w:tcPr>
            <w:tcW w:w="118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Cs/>
                <w:color w:val="000000" w:themeColor="text1"/>
                <w:sz w:val="15"/>
                <w:szCs w:val="15"/>
              </w:rPr>
              <w:t>/</w:t>
            </w:r>
          </w:p>
        </w:tc>
        <w:tc>
          <w:tcPr>
            <w:tcW w:w="1661"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绿化及生态（万元）</w:t>
            </w:r>
          </w:p>
        </w:tc>
        <w:tc>
          <w:tcPr>
            <w:tcW w:w="964"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1077"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
                <w:color w:val="000000" w:themeColor="text1"/>
                <w:sz w:val="15"/>
                <w:szCs w:val="15"/>
              </w:rPr>
              <w:t>其他（万元）</w:t>
            </w:r>
          </w:p>
        </w:tc>
        <w:tc>
          <w:tcPr>
            <w:tcW w:w="776"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420" w:type="dxa"/>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919"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新增废水处理设施能力</w:t>
            </w:r>
          </w:p>
        </w:tc>
        <w:tc>
          <w:tcPr>
            <w:tcW w:w="4795" w:type="dxa"/>
            <w:gridSpan w:val="9"/>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2711" w:type="dxa"/>
            <w:gridSpan w:val="4"/>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新增废气处理设施能力</w:t>
            </w:r>
          </w:p>
        </w:tc>
        <w:tc>
          <w:tcPr>
            <w:tcW w:w="1189"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c>
          <w:tcPr>
            <w:tcW w:w="1661"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年平均工作时</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Cs/>
                <w:color w:val="000000" w:themeColor="text1"/>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339" w:type="dxa"/>
            <w:gridSpan w:val="4"/>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
                <w:color w:val="000000" w:themeColor="text1"/>
                <w:sz w:val="15"/>
                <w:szCs w:val="15"/>
              </w:rPr>
              <w:t>运营单位</w:t>
            </w:r>
          </w:p>
        </w:tc>
        <w:tc>
          <w:tcPr>
            <w:tcW w:w="4193" w:type="dxa"/>
            <w:gridSpan w:val="6"/>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color w:val="000000" w:themeColor="text1"/>
                <w:sz w:val="15"/>
                <w:szCs w:val="15"/>
              </w:rPr>
              <w:t>江苏银环新材科技有限公司</w:t>
            </w:r>
          </w:p>
        </w:tc>
        <w:tc>
          <w:tcPr>
            <w:tcW w:w="3313" w:type="dxa"/>
            <w:gridSpan w:val="7"/>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b/>
                <w:color w:val="000000" w:themeColor="text1"/>
                <w:sz w:val="15"/>
                <w:szCs w:val="15"/>
              </w:rPr>
              <w:t>运营单位社会统一信用代码（或组织机构代码）</w:t>
            </w:r>
          </w:p>
        </w:tc>
        <w:tc>
          <w:tcPr>
            <w:tcW w:w="118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Cs/>
                <w:color w:val="000000" w:themeColor="text1"/>
                <w:sz w:val="15"/>
                <w:szCs w:val="15"/>
              </w:rPr>
              <w:t>/</w:t>
            </w:r>
          </w:p>
        </w:tc>
        <w:tc>
          <w:tcPr>
            <w:tcW w:w="1661"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验收时间</w:t>
            </w:r>
          </w:p>
        </w:tc>
        <w:tc>
          <w:tcPr>
            <w:tcW w:w="2817" w:type="dxa"/>
            <w:gridSpan w:val="5"/>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000000" w:themeColor="text1"/>
                <w:sz w:val="15"/>
                <w:szCs w:val="15"/>
              </w:rPr>
            </w:pPr>
            <w:r>
              <w:rPr>
                <w:rFonts w:hint="eastAsia" w:ascii="宋体" w:hAnsi="宋体" w:cs="宋体"/>
                <w:color w:val="000000" w:themeColor="text1"/>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restart"/>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污染</w:t>
            </w:r>
          </w:p>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物排</w:t>
            </w:r>
          </w:p>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放达</w:t>
            </w:r>
          </w:p>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标与</w:t>
            </w:r>
          </w:p>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总量</w:t>
            </w:r>
          </w:p>
          <w:p>
            <w:pPr>
              <w:keepNext w:val="0"/>
              <w:keepLines w:val="0"/>
              <w:pageBreakBefore w:val="0"/>
              <w:kinsoku/>
              <w:wordWrap/>
              <w:overflowPunct/>
              <w:topLinePunct w:val="0"/>
              <w:autoSpaceDE/>
              <w:autoSpaceDN/>
              <w:bidi w:val="0"/>
              <w:adjustRightInd/>
              <w:snapToGrid/>
              <w:spacing w:line="240" w:lineRule="atLeast"/>
              <w:jc w:val="lef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控制（工</w:t>
            </w:r>
          </w:p>
          <w:p>
            <w:pPr>
              <w:keepNext w:val="0"/>
              <w:keepLines w:val="0"/>
              <w:pageBreakBefore w:val="0"/>
              <w:kinsoku/>
              <w:wordWrap/>
              <w:overflowPunct/>
              <w:topLinePunct w:val="0"/>
              <w:autoSpaceDE/>
              <w:autoSpaceDN/>
              <w:bidi w:val="0"/>
              <w:adjustRightInd/>
              <w:snapToGrid/>
              <w:spacing w:line="240" w:lineRule="atLeast"/>
              <w:jc w:val="lef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业建</w:t>
            </w:r>
          </w:p>
          <w:p>
            <w:pPr>
              <w:keepNext w:val="0"/>
              <w:keepLines w:val="0"/>
              <w:pageBreakBefore w:val="0"/>
              <w:kinsoku/>
              <w:wordWrap/>
              <w:overflowPunct/>
              <w:topLinePunct w:val="0"/>
              <w:autoSpaceDE/>
              <w:autoSpaceDN/>
              <w:bidi w:val="0"/>
              <w:adjustRightInd/>
              <w:snapToGrid/>
              <w:spacing w:line="240" w:lineRule="atLeast"/>
              <w:jc w:val="lef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设项</w:t>
            </w:r>
          </w:p>
          <w:p>
            <w:pPr>
              <w:keepNext w:val="0"/>
              <w:keepLines w:val="0"/>
              <w:pageBreakBefore w:val="0"/>
              <w:kinsoku/>
              <w:wordWrap/>
              <w:overflowPunct/>
              <w:topLinePunct w:val="0"/>
              <w:autoSpaceDE/>
              <w:autoSpaceDN/>
              <w:bidi w:val="0"/>
              <w:adjustRightInd/>
              <w:snapToGrid/>
              <w:spacing w:line="240" w:lineRule="atLeast"/>
              <w:jc w:val="left"/>
              <w:rPr>
                <w:rFonts w:ascii="宋体" w:hAnsi="宋体" w:cs="宋体"/>
                <w:b/>
                <w:color w:val="000000" w:themeColor="text1"/>
                <w:spacing w:val="20"/>
                <w:sz w:val="15"/>
                <w:szCs w:val="15"/>
              </w:rPr>
            </w:pPr>
            <w:r>
              <w:rPr>
                <w:rFonts w:hint="eastAsia" w:ascii="宋体" w:hAnsi="宋体" w:cs="宋体"/>
                <w:b/>
                <w:color w:val="000000" w:themeColor="text1"/>
                <w:spacing w:val="20"/>
                <w:sz w:val="15"/>
                <w:szCs w:val="15"/>
              </w:rPr>
              <w:t>目详填）</w:t>
            </w:r>
          </w:p>
        </w:tc>
        <w:tc>
          <w:tcPr>
            <w:tcW w:w="1755"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污染物</w:t>
            </w:r>
          </w:p>
        </w:tc>
        <w:tc>
          <w:tcPr>
            <w:tcW w:w="8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原有排</w:t>
            </w:r>
          </w:p>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放量(1)</w:t>
            </w:r>
          </w:p>
        </w:tc>
        <w:tc>
          <w:tcPr>
            <w:tcW w:w="1348"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本期工程实际排放浓度(2)</w:t>
            </w:r>
          </w:p>
        </w:tc>
        <w:tc>
          <w:tcPr>
            <w:tcW w:w="107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本期工程允许排放浓度(3)</w:t>
            </w:r>
          </w:p>
        </w:tc>
        <w:tc>
          <w:tcPr>
            <w:tcW w:w="970"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本期工程产生量(4)</w:t>
            </w:r>
          </w:p>
        </w:tc>
        <w:tc>
          <w:tcPr>
            <w:tcW w:w="1074"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本期工程自身削减量(5)</w:t>
            </w:r>
          </w:p>
        </w:tc>
        <w:tc>
          <w:tcPr>
            <w:tcW w:w="111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本期工程实际排放量(6)</w:t>
            </w:r>
          </w:p>
        </w:tc>
        <w:tc>
          <w:tcPr>
            <w:tcW w:w="112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b/>
                <w:color w:val="000000" w:themeColor="text1"/>
                <w:sz w:val="15"/>
                <w:szCs w:val="15"/>
              </w:rPr>
            </w:pPr>
            <w:r>
              <w:rPr>
                <w:rFonts w:hint="eastAsia" w:ascii="宋体" w:hAnsi="宋体" w:cs="宋体"/>
                <w:b/>
                <w:color w:val="000000" w:themeColor="text1"/>
                <w:sz w:val="15"/>
                <w:szCs w:val="15"/>
              </w:rPr>
              <w:t>本期工程核定排放总量(7)</w:t>
            </w:r>
          </w:p>
        </w:tc>
        <w:tc>
          <w:tcPr>
            <w:tcW w:w="118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本期工程“以新带老”削减量(8)</w:t>
            </w:r>
          </w:p>
        </w:tc>
        <w:tc>
          <w:tcPr>
            <w:tcW w:w="14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全厂实际排放总量(9)</w:t>
            </w:r>
          </w:p>
        </w:tc>
        <w:tc>
          <w:tcPr>
            <w:tcW w:w="121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全厂核定排放总量(10)</w:t>
            </w:r>
          </w:p>
        </w:tc>
        <w:tc>
          <w:tcPr>
            <w:tcW w:w="107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区域平衡替代削减量(11)</w:t>
            </w:r>
          </w:p>
        </w:tc>
        <w:tc>
          <w:tcPr>
            <w:tcW w:w="777"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r>
              <w:rPr>
                <w:rFonts w:hint="eastAsia" w:ascii="宋体" w:hAnsi="宋体" w:cs="宋体"/>
                <w:b/>
                <w:color w:val="000000" w:themeColor="text1"/>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废水</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0.0720</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0.0720</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0.0720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CODcr</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0.0259</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0.0259</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0.0259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SS</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0.0072</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0.0072</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氨氮</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0.0095</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0.0095</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总磷</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0.0007</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0.0007</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755"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r>
              <w:rPr>
                <w:rFonts w:hint="eastAsia" w:ascii="宋体" w:hAnsi="宋体" w:eastAsia="宋体" w:cs="宋体"/>
                <w:b/>
                <w:color w:val="000000" w:themeColor="text1"/>
                <w:sz w:val="15"/>
                <w:szCs w:val="15"/>
              </w:rPr>
              <w:t>动植物油</w:t>
            </w:r>
          </w:p>
        </w:tc>
        <w:tc>
          <w:tcPr>
            <w:tcW w:w="809" w:type="dxa"/>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348"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1072" w:type="dxa"/>
            <w:gridSpan w:val="2"/>
            <w:tcMar>
              <w:left w:w="57" w:type="dxa"/>
              <w:right w:w="57" w:type="dxa"/>
            </w:tcMar>
            <w:vAlign w:val="center"/>
          </w:tcPr>
          <w:p>
            <w:pPr>
              <w:jc w:val="center"/>
              <w:rPr>
                <w:rFonts w:hint="eastAsia" w:ascii="宋体" w:hAnsi="宋体" w:eastAsia="宋体" w:cs="宋体"/>
                <w:b/>
                <w:color w:val="000000" w:themeColor="text1"/>
                <w:sz w:val="15"/>
                <w:szCs w:val="15"/>
              </w:rPr>
            </w:pPr>
          </w:p>
        </w:tc>
        <w:tc>
          <w:tcPr>
            <w:tcW w:w="970"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0.0001</w:t>
            </w:r>
          </w:p>
        </w:tc>
        <w:tc>
          <w:tcPr>
            <w:tcW w:w="1074" w:type="dxa"/>
            <w:gridSpan w:val="3"/>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11" w:type="dxa"/>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0.0001</w:t>
            </w:r>
          </w:p>
        </w:tc>
        <w:tc>
          <w:tcPr>
            <w:tcW w:w="1122"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18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409" w:type="dxa"/>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21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1076"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p>
        </w:tc>
        <w:tc>
          <w:tcPr>
            <w:tcW w:w="777" w:type="dxa"/>
            <w:gridSpan w:val="2"/>
            <w:tcMar>
              <w:left w:w="57" w:type="dxa"/>
              <w:right w:w="57" w:type="dxa"/>
            </w:tcMar>
            <w:vAlign w:val="center"/>
          </w:tcPr>
          <w:p>
            <w:pPr>
              <w:jc w:val="center"/>
              <w:rPr>
                <w:rFonts w:hint="eastAsia" w:ascii="宋体" w:hAnsi="宋体" w:eastAsia="宋体" w:cs="宋体"/>
                <w:b w:val="0"/>
                <w:bCs/>
                <w:color w:val="000000" w:themeColor="text1"/>
                <w:sz w:val="15"/>
                <w:szCs w:val="15"/>
              </w:rPr>
            </w:pPr>
            <w:r>
              <w:rPr>
                <w:rFonts w:hint="eastAsia" w:ascii="宋体" w:hAnsi="宋体" w:eastAsia="宋体" w:cs="宋体"/>
                <w:b w:val="0"/>
                <w:bCs/>
                <w:color w:val="000000" w:themeColor="text1"/>
                <w:sz w:val="15"/>
                <w:szCs w:val="15"/>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074" w:type="dxa"/>
            <w:vMerge w:val="restart"/>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r>
              <w:rPr>
                <w:rFonts w:hint="eastAsia" w:ascii="宋体" w:hAnsi="宋体" w:cs="宋体"/>
                <w:b/>
                <w:color w:val="000000" w:themeColor="text1"/>
                <w:sz w:val="15"/>
                <w:szCs w:val="15"/>
              </w:rPr>
              <w:t>与项目有关的其他特征污染物</w:t>
            </w:r>
          </w:p>
        </w:tc>
        <w:tc>
          <w:tcPr>
            <w:tcW w:w="68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8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348"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970"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4"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1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2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8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4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21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777"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074" w:type="dxa"/>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p>
        </w:tc>
        <w:tc>
          <w:tcPr>
            <w:tcW w:w="68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8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348"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970"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4" w:type="dxa"/>
            <w:gridSpan w:val="3"/>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1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22"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8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409"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21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6"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777" w:type="dxa"/>
            <w:gridSpan w:val="2"/>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4" w:type="dxa"/>
            <w:gridSpan w:val="2"/>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1074" w:type="dxa"/>
            <w:vMerge w:val="continue"/>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rPr>
                <w:rFonts w:ascii="宋体" w:hAnsi="宋体" w:cs="宋体"/>
                <w:b/>
                <w:color w:val="000000" w:themeColor="text1"/>
                <w:sz w:val="15"/>
                <w:szCs w:val="15"/>
              </w:rPr>
            </w:pPr>
          </w:p>
        </w:tc>
        <w:tc>
          <w:tcPr>
            <w:tcW w:w="681" w:type="dxa"/>
            <w:tcMar>
              <w:left w:w="57" w:type="dxa"/>
              <w:right w:w="57" w:type="dxa"/>
            </w:tcMar>
            <w:vAlign w:val="center"/>
          </w:tcPr>
          <w:p>
            <w:pPr>
              <w:keepNext w:val="0"/>
              <w:keepLines w:val="0"/>
              <w:pageBreakBefore w:val="0"/>
              <w:kinsoku/>
              <w:wordWrap/>
              <w:overflowPunct/>
              <w:topLinePunct w:val="0"/>
              <w:autoSpaceDE/>
              <w:autoSpaceDN/>
              <w:bidi w:val="0"/>
              <w:adjustRightInd/>
              <w:snapToGrid/>
              <w:spacing w:line="240" w:lineRule="atLeast"/>
              <w:rPr>
                <w:rFonts w:ascii="宋体" w:hAnsi="宋体" w:cs="宋体"/>
                <w:color w:val="000000" w:themeColor="text1"/>
                <w:sz w:val="15"/>
                <w:szCs w:val="15"/>
              </w:rPr>
            </w:pPr>
          </w:p>
        </w:tc>
        <w:tc>
          <w:tcPr>
            <w:tcW w:w="809"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348"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970"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4" w:type="dxa"/>
            <w:gridSpan w:val="3"/>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11"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22"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189"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409" w:type="dxa"/>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216"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1076"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c>
          <w:tcPr>
            <w:tcW w:w="777" w:type="dxa"/>
            <w:gridSpan w:val="2"/>
            <w:tcMar>
              <w:left w:w="57" w:type="dxa"/>
              <w:right w:w="57" w:type="dxa"/>
            </w:tcMar>
          </w:tcPr>
          <w:p>
            <w:pPr>
              <w:keepNext w:val="0"/>
              <w:keepLines w:val="0"/>
              <w:pageBreakBefore w:val="0"/>
              <w:kinsoku/>
              <w:wordWrap/>
              <w:overflowPunct/>
              <w:topLinePunct w:val="0"/>
              <w:autoSpaceDE/>
              <w:autoSpaceDN/>
              <w:bidi w:val="0"/>
              <w:adjustRightInd/>
              <w:snapToGrid/>
              <w:spacing w:line="240" w:lineRule="atLeast"/>
              <w:jc w:val="center"/>
              <w:rPr>
                <w:rFonts w:ascii="宋体" w:hAnsi="宋体" w:cs="宋体"/>
                <w:color w:val="FF0000"/>
                <w:sz w:val="15"/>
                <w:szCs w:val="15"/>
              </w:rPr>
            </w:pPr>
          </w:p>
        </w:tc>
      </w:tr>
    </w:tbl>
    <w:p>
      <w:pPr>
        <w:rPr>
          <w:color w:val="FF0000"/>
          <w:szCs w:val="21"/>
        </w:rPr>
      </w:pPr>
      <w:r>
        <w:rPr>
          <w:rFonts w:hint="eastAsia"/>
          <w:color w:val="000000" w:themeColor="text1"/>
          <w:sz w:val="18"/>
          <w:szCs w:val="18"/>
        </w:rPr>
        <w:t>注：1、排放增减量：（+）表示增加，（-）表示减少。   2、</w:t>
      </w:r>
      <w:r>
        <w:rPr>
          <w:rFonts w:hint="eastAsia"/>
          <w:color w:val="000000" w:themeColor="text1"/>
          <w:spacing w:val="-8"/>
          <w:sz w:val="18"/>
          <w:szCs w:val="18"/>
        </w:rPr>
        <w:t>（12）=</w:t>
      </w:r>
      <w:r>
        <w:rPr>
          <w:rFonts w:hint="eastAsia"/>
          <w:color w:val="000000" w:themeColor="text1"/>
          <w:spacing w:val="-20"/>
          <w:sz w:val="18"/>
          <w:szCs w:val="18"/>
        </w:rPr>
        <w:t xml:space="preserve">（6）-（8）-（11），（9）=（4）-（5）-（8）-（11）+（1）。      </w:t>
      </w:r>
      <w:r>
        <w:rPr>
          <w:rFonts w:hint="eastAsia"/>
          <w:color w:val="000000" w:themeColor="text1"/>
          <w:sz w:val="18"/>
          <w:szCs w:val="18"/>
        </w:rPr>
        <w:t>3、计量单位：废水排放量——万吨／年；废气排放量——万标立方米／年；工业固体废物排放量——万吨／年；水污染物排放浓度——毫克／升；大气污染物排放浓度——毫克／立方米；水污染物排放量——吨／年；大气污染物排放量——吨/年</w:t>
      </w:r>
      <w:r>
        <w:rPr>
          <w:rFonts w:hint="eastAsia"/>
          <w:color w:val="FF0000"/>
          <w:sz w:val="28"/>
          <w:szCs w:val="28"/>
        </w:rPr>
        <w:tab/>
      </w:r>
    </w:p>
    <w:p>
      <w:pPr>
        <w:rPr>
          <w:rFonts w:hint="eastAsia" w:ascii="宋体" w:hAnsi="宋体" w:cs="宋体"/>
          <w:color w:val="000000" w:themeColor="text1"/>
          <w:sz w:val="24"/>
        </w:rPr>
        <w:sectPr>
          <w:footerReference r:id="rId18" w:type="default"/>
          <w:pgSz w:w="16838" w:h="11906" w:orient="landscape"/>
          <w:pgMar w:top="567" w:right="720" w:bottom="567" w:left="720" w:header="567" w:footer="567" w:gutter="0"/>
          <w:cols w:space="0" w:num="1"/>
          <w:docGrid w:type="lines" w:linePitch="312" w:charSpace="0"/>
        </w:sectPr>
      </w:pPr>
      <w:r>
        <w:rPr>
          <w:rFonts w:hint="eastAsia" w:ascii="宋体" w:hAnsi="宋体" w:cs="宋体"/>
          <w:color w:val="000000" w:themeColor="text1"/>
          <w:sz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firstLine="0" w:firstLineChars="0"/>
        <w:jc w:val="center"/>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第</w:t>
      </w:r>
      <w:r>
        <w:rPr>
          <w:rFonts w:hint="eastAsia" w:ascii="Helvetica Neue" w:hAnsi="Helvetica Neue" w:eastAsia="宋体" w:cs="Helvetica Neue"/>
          <w:b w:val="0"/>
          <w:i w:val="0"/>
          <w:caps w:val="0"/>
          <w:color w:val="000000"/>
          <w:spacing w:val="0"/>
          <w:sz w:val="44"/>
          <w:szCs w:val="44"/>
          <w:shd w:val="clear" w:color="auto" w:fill="FFFFFF"/>
          <w:lang w:eastAsia="zh-CN"/>
        </w:rPr>
        <w:t>二</w:t>
      </w:r>
      <w:r>
        <w:rPr>
          <w:rFonts w:hint="default" w:ascii="Helvetica Neue" w:hAnsi="Helvetica Neue" w:eastAsia="Helvetica Neue" w:cs="Helvetica Neue"/>
          <w:b w:val="0"/>
          <w:i w:val="0"/>
          <w:caps w:val="0"/>
          <w:color w:val="000000"/>
          <w:spacing w:val="0"/>
          <w:sz w:val="44"/>
          <w:szCs w:val="44"/>
          <w:shd w:val="clear" w:color="auto" w:fill="FFFFFF"/>
        </w:rPr>
        <w:t>部分</w:t>
      </w:r>
    </w:p>
    <w:p>
      <w:pPr>
        <w:jc w:val="center"/>
        <w:rPr>
          <w:rFonts w:hint="eastAsia" w:ascii="Helvetica Neue" w:hAnsi="Helvetica Neue" w:eastAsia="宋体" w:cs="Helvetica Neue"/>
          <w:b w:val="0"/>
          <w:i w:val="0"/>
          <w:caps w:val="0"/>
          <w:color w:val="000000"/>
          <w:spacing w:val="0"/>
          <w:sz w:val="44"/>
          <w:szCs w:val="44"/>
          <w:shd w:val="clear" w:color="auto" w:fill="FFFFFF"/>
          <w:lang w:eastAsia="zh-CN"/>
        </w:rPr>
        <w:sectPr>
          <w:headerReference r:id="rId19" w:type="default"/>
          <w:footerReference r:id="rId20" w:type="default"/>
          <w:pgSz w:w="11906" w:h="16838"/>
          <w:pgMar w:top="1304" w:right="1531" w:bottom="1304" w:left="1531" w:header="851"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Helvetica Neue" w:hAnsi="Helvetica Neue" w:eastAsia="Helvetica Neue" w:cs="Helvetica Neue"/>
          <w:b w:val="0"/>
          <w:i w:val="0"/>
          <w:caps w:val="0"/>
          <w:color w:val="000000"/>
          <w:spacing w:val="0"/>
          <w:sz w:val="44"/>
          <w:szCs w:val="44"/>
          <w:shd w:val="clear" w:color="auto" w:fill="FFFFFF"/>
        </w:rPr>
        <w:t>验收</w:t>
      </w:r>
      <w:r>
        <w:rPr>
          <w:rFonts w:hint="eastAsia" w:ascii="Helvetica Neue" w:hAnsi="Helvetica Neue" w:eastAsia="宋体" w:cs="Helvetica Neue"/>
          <w:b w:val="0"/>
          <w:i w:val="0"/>
          <w:caps w:val="0"/>
          <w:color w:val="000000"/>
          <w:spacing w:val="0"/>
          <w:sz w:val="44"/>
          <w:szCs w:val="44"/>
          <w:shd w:val="clear" w:color="auto" w:fill="FFFFFF"/>
          <w:lang w:eastAsia="zh-CN"/>
        </w:rPr>
        <w:t>意见</w:t>
      </w:r>
    </w:p>
    <w:p>
      <w:pPr>
        <w:keepNext w:val="0"/>
        <w:keepLines w:val="0"/>
        <w:pageBreakBefore w:val="0"/>
        <w:kinsoku/>
        <w:wordWrap/>
        <w:overflowPunct/>
        <w:topLinePunct w:val="0"/>
        <w:autoSpaceDE/>
        <w:autoSpaceDN/>
        <w:bidi w:val="0"/>
        <w:adjustRightInd/>
        <w:spacing w:line="384" w:lineRule="auto"/>
        <w:jc w:val="center"/>
        <w:textAlignment w:val="auto"/>
        <w:rPr>
          <w:rFonts w:hint="eastAsia" w:ascii="仿宋_GB2312" w:hAnsi="宋体" w:eastAsia="仿宋_GB2312"/>
          <w:b/>
          <w:bCs w:val="0"/>
          <w:color w:val="auto"/>
          <w:sz w:val="28"/>
          <w:szCs w:val="28"/>
          <w:lang w:val="en-US" w:eastAsia="zh-CN"/>
        </w:rPr>
      </w:pPr>
      <w:r>
        <w:rPr>
          <w:rFonts w:hint="eastAsia" w:ascii="仿宋_GB2312" w:hAnsi="宋体" w:eastAsia="仿宋_GB2312"/>
          <w:b/>
          <w:bCs w:val="0"/>
          <w:color w:val="auto"/>
          <w:sz w:val="28"/>
          <w:szCs w:val="28"/>
          <w:lang w:val="en-US" w:eastAsia="zh-CN"/>
        </w:rPr>
        <w:t>江苏银环新材料科技有限公司自承式轻质钢筋桁架楼承板（第五代）生产线项目竣工环境保护验收意见</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color w:val="auto"/>
          <w:sz w:val="24"/>
          <w:szCs w:val="24"/>
          <w:lang w:eastAsia="zh-CN"/>
        </w:rPr>
        <w:t>201</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eastAsia="zh-CN"/>
        </w:rPr>
        <w:t>年</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月</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eastAsia="zh-CN"/>
        </w:rPr>
        <w:t>日，</w:t>
      </w:r>
      <w:r>
        <w:rPr>
          <w:rFonts w:hint="eastAsia" w:ascii="宋体" w:hAnsi="宋体" w:cs="宋体"/>
          <w:color w:val="auto"/>
          <w:sz w:val="24"/>
          <w:szCs w:val="24"/>
          <w:lang w:val="en-US" w:eastAsia="zh-CN"/>
        </w:rPr>
        <w:t>江苏银环新材料科技有限公司</w:t>
      </w:r>
      <w:r>
        <w:rPr>
          <w:rFonts w:hint="eastAsia" w:ascii="宋体" w:hAnsi="宋体" w:eastAsia="宋体" w:cs="宋体"/>
          <w:color w:val="auto"/>
          <w:sz w:val="24"/>
          <w:szCs w:val="24"/>
          <w:lang w:eastAsia="zh-CN"/>
        </w:rPr>
        <w:t>主持召开了</w:t>
      </w:r>
      <w:r>
        <w:rPr>
          <w:rFonts w:hint="eastAsia" w:ascii="宋体" w:hAnsi="宋体" w:cs="宋体"/>
          <w:color w:val="auto"/>
          <w:sz w:val="24"/>
          <w:szCs w:val="24"/>
          <w:lang w:val="en-US" w:eastAsia="zh-CN"/>
        </w:rPr>
        <w:t>自承式轻质钢筋桁架楼承板（第五代）生产线项目</w:t>
      </w:r>
      <w:r>
        <w:rPr>
          <w:rFonts w:hint="eastAsia" w:ascii="宋体" w:hAnsi="宋体" w:eastAsia="宋体" w:cs="宋体"/>
          <w:color w:val="auto"/>
          <w:sz w:val="24"/>
          <w:szCs w:val="24"/>
          <w:lang w:eastAsia="zh-CN"/>
        </w:rPr>
        <w:t>竣工环境保护验收会议。参加验收会议的有</w:t>
      </w:r>
      <w:r>
        <w:rPr>
          <w:rFonts w:hint="eastAsia" w:ascii="宋体" w:hAnsi="宋体" w:cs="宋体"/>
          <w:color w:val="auto"/>
          <w:sz w:val="24"/>
          <w:szCs w:val="24"/>
          <w:lang w:val="en-US" w:eastAsia="zh-CN"/>
        </w:rPr>
        <w:t>江苏银环新材料科技有限公司</w:t>
      </w:r>
      <w:r>
        <w:rPr>
          <w:rFonts w:hint="eastAsia" w:ascii="宋体" w:hAnsi="宋体" w:eastAsia="宋体" w:cs="宋体"/>
          <w:color w:val="auto"/>
          <w:sz w:val="24"/>
          <w:szCs w:val="24"/>
          <w:lang w:eastAsia="zh-CN"/>
        </w:rPr>
        <w:t>（建设单位）、南京高博环境科技有限公司（验收监测报告编制单位）</w:t>
      </w:r>
      <w:r>
        <w:rPr>
          <w:rFonts w:hint="eastAsia" w:ascii="宋体" w:hAnsi="宋体" w:cs="宋体"/>
          <w:color w:val="auto"/>
          <w:sz w:val="24"/>
          <w:szCs w:val="24"/>
          <w:lang w:eastAsia="zh-CN"/>
        </w:rPr>
        <w:t>、江苏大阳工程建设监理有限公司（监理单位）、南京永业建筑安装有限公司（施工单位），</w:t>
      </w:r>
      <w:r>
        <w:rPr>
          <w:rFonts w:hint="eastAsia" w:ascii="宋体" w:hAnsi="宋体" w:eastAsia="宋体" w:cs="宋体"/>
          <w:color w:val="auto"/>
          <w:sz w:val="24"/>
          <w:szCs w:val="24"/>
          <w:lang w:eastAsia="zh-CN"/>
        </w:rPr>
        <w:t>并邀请了</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位</w:t>
      </w:r>
      <w:r>
        <w:rPr>
          <w:rFonts w:hint="eastAsia" w:ascii="宋体" w:hAnsi="宋体" w:eastAsia="宋体" w:cs="宋体"/>
          <w:color w:val="auto"/>
          <w:sz w:val="24"/>
          <w:szCs w:val="24"/>
          <w:lang w:eastAsia="zh-CN"/>
        </w:rPr>
        <w:t>专家（验收组成员名单见附表）。经现场勘察，查阅相关验收材料及竣工验收监测报告，提出验收意</w:t>
      </w:r>
      <w:r>
        <w:rPr>
          <w:rFonts w:hint="eastAsia" w:ascii="宋体" w:hAnsi="宋体" w:eastAsia="宋体" w:cs="宋体"/>
          <w:sz w:val="24"/>
          <w:szCs w:val="24"/>
          <w:lang w:eastAsia="zh-CN"/>
        </w:rPr>
        <w:t>见如下：</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一、工程建设基本情况</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（一）建设地点、规模、主要建设内容</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cs="宋体"/>
          <w:sz w:val="24"/>
          <w:szCs w:val="24"/>
        </w:rPr>
        <w:t>项目位于南京市六合经济开发区新港湾路以东、云海玻璃以西，建设厂房及附属设施为22461m</w:t>
      </w:r>
      <w:r>
        <w:rPr>
          <w:rFonts w:hint="eastAsia" w:ascii="宋体" w:hAnsi="宋体" w:cs="宋体"/>
          <w:sz w:val="24"/>
          <w:szCs w:val="24"/>
          <w:vertAlign w:val="superscript"/>
        </w:rPr>
        <w:t>2</w:t>
      </w:r>
      <w:r>
        <w:rPr>
          <w:rFonts w:hint="eastAsia" w:ascii="宋体" w:hAnsi="宋体" w:cs="宋体"/>
          <w:sz w:val="24"/>
          <w:szCs w:val="24"/>
        </w:rPr>
        <w:t>，实际建设内容为年产钢筋桁架楼承板1.5万吨，年产压型钢板0.4万吨，年产冷弯型钢0.1万吨生产能力</w:t>
      </w:r>
      <w:r>
        <w:rPr>
          <w:rFonts w:hint="eastAsia" w:ascii="宋体" w:hAnsi="宋体" w:cs="宋体"/>
          <w:sz w:val="24"/>
          <w:szCs w:val="24"/>
          <w:lang w:eastAsia="zh-CN"/>
        </w:rPr>
        <w:t>。</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（二）建设过程及环保审批情况</w:t>
      </w:r>
    </w:p>
    <w:p>
      <w:pPr>
        <w:keepNext w:val="0"/>
        <w:keepLines w:val="0"/>
        <w:pageBreakBefore w:val="0"/>
        <w:widowControl/>
        <w:kinsoku/>
        <w:wordWrap/>
        <w:overflowPunct/>
        <w:topLinePunct w:val="0"/>
        <w:autoSpaceDE/>
        <w:autoSpaceDN/>
        <w:bidi w:val="0"/>
        <w:adjustRightInd/>
        <w:snapToGrid/>
        <w:spacing w:line="384" w:lineRule="auto"/>
        <w:ind w:right="0" w:righ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公司于2014年6月委托南京科泓环保技术有限责任公司完成《江苏银环新材料科技有限公司“自承式轻质钢筋桁架楼承板（第五代）生产线项目 ”环境影响报告表》编制，2014年7月15日取得六合区环保局批复。项目于2016年6月开工，2018年3月竣工并调试生产。</w:t>
      </w:r>
    </w:p>
    <w:p>
      <w:pPr>
        <w:keepNext w:val="0"/>
        <w:keepLines w:val="0"/>
        <w:pageBreakBefore w:val="0"/>
        <w:widowControl/>
        <w:kinsoku/>
        <w:wordWrap/>
        <w:overflowPunct/>
        <w:topLinePunct w:val="0"/>
        <w:autoSpaceDE/>
        <w:autoSpaceDN/>
        <w:bidi w:val="0"/>
        <w:adjustRightInd/>
        <w:snapToGrid/>
        <w:spacing w:line="384" w:lineRule="auto"/>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（三）投资情况</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firstLine="480" w:firstLineChars="200"/>
        <w:jc w:val="lef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该项目</w:t>
      </w:r>
      <w:r>
        <w:rPr>
          <w:rFonts w:hint="eastAsia" w:ascii="宋体" w:hAnsi="宋体" w:eastAsia="宋体" w:cs="宋体"/>
          <w:color w:val="auto"/>
          <w:sz w:val="24"/>
          <w:szCs w:val="24"/>
          <w:lang w:eastAsia="zh-CN"/>
        </w:rPr>
        <w:t>实际总投资</w:t>
      </w:r>
      <w:r>
        <w:rPr>
          <w:rFonts w:hint="eastAsia" w:ascii="宋体" w:hAnsi="宋体" w:cs="宋体"/>
          <w:color w:val="auto"/>
          <w:sz w:val="24"/>
          <w:szCs w:val="24"/>
          <w:lang w:val="en-US" w:eastAsia="zh-CN"/>
        </w:rPr>
        <w:t>1500</w:t>
      </w:r>
      <w:r>
        <w:rPr>
          <w:rFonts w:hint="eastAsia" w:ascii="宋体" w:hAnsi="宋体" w:eastAsia="宋体" w:cs="宋体"/>
          <w:color w:val="auto"/>
          <w:sz w:val="24"/>
          <w:szCs w:val="24"/>
          <w:lang w:val="en-US" w:eastAsia="zh-CN"/>
        </w:rPr>
        <w:t>万元，</w:t>
      </w:r>
      <w:r>
        <w:rPr>
          <w:rFonts w:hint="eastAsia" w:ascii="宋体" w:hAnsi="宋体" w:eastAsia="宋体" w:cs="宋体"/>
          <w:color w:val="auto"/>
          <w:sz w:val="24"/>
          <w:szCs w:val="24"/>
          <w:lang w:eastAsia="zh-CN"/>
        </w:rPr>
        <w:t>环保投资</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万元</w:t>
      </w:r>
      <w:r>
        <w:rPr>
          <w:rFonts w:hint="eastAsia" w:ascii="宋体" w:hAnsi="宋体" w:eastAsia="宋体" w:cs="宋体"/>
          <w:color w:val="auto"/>
          <w:sz w:val="24"/>
          <w:szCs w:val="24"/>
        </w:rPr>
        <w:t>，占总投资的</w:t>
      </w:r>
      <w:r>
        <w:rPr>
          <w:rFonts w:hint="eastAsia" w:ascii="宋体" w:hAnsi="宋体" w:cs="宋体"/>
          <w:color w:val="auto"/>
          <w:sz w:val="24"/>
          <w:szCs w:val="24"/>
          <w:lang w:val="en-US" w:eastAsia="zh-CN"/>
        </w:rPr>
        <w:t>0.67</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（四）验收范围</w:t>
      </w:r>
    </w:p>
    <w:p>
      <w:pPr>
        <w:keepNext w:val="0"/>
        <w:keepLines w:val="0"/>
        <w:pageBreakBefore w:val="0"/>
        <w:kinsoku/>
        <w:wordWrap/>
        <w:overflowPunct/>
        <w:topLinePunct w:val="0"/>
        <w:autoSpaceDE/>
        <w:autoSpaceDN/>
        <w:bidi w:val="0"/>
        <w:adjustRightInd/>
        <w:snapToGrid w:val="0"/>
        <w:spacing w:line="384"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sz w:val="24"/>
          <w:szCs w:val="24"/>
        </w:rPr>
        <w:t>本次验收范围</w:t>
      </w:r>
      <w:r>
        <w:rPr>
          <w:rFonts w:hint="eastAsia" w:ascii="宋体" w:hAnsi="宋体" w:cs="宋体"/>
          <w:sz w:val="24"/>
          <w:szCs w:val="24"/>
          <w:lang w:eastAsia="zh-CN"/>
        </w:rPr>
        <w:t>为</w:t>
      </w:r>
      <w:r>
        <w:rPr>
          <w:rFonts w:hint="eastAsia" w:ascii="宋体" w:hAnsi="宋体" w:cs="宋体"/>
          <w:sz w:val="24"/>
          <w:szCs w:val="24"/>
        </w:rPr>
        <w:t>钢筋桁架楼承板</w:t>
      </w:r>
      <w:r>
        <w:rPr>
          <w:rFonts w:hint="eastAsia" w:ascii="宋体" w:hAnsi="宋体" w:cs="宋体"/>
          <w:sz w:val="24"/>
          <w:szCs w:val="24"/>
          <w:lang w:eastAsia="zh-CN"/>
        </w:rPr>
        <w:t>、</w:t>
      </w:r>
      <w:r>
        <w:rPr>
          <w:rFonts w:hint="eastAsia" w:ascii="宋体" w:hAnsi="宋体" w:cs="宋体"/>
          <w:sz w:val="24"/>
          <w:szCs w:val="24"/>
        </w:rPr>
        <w:t>压型钢板</w:t>
      </w:r>
      <w:r>
        <w:rPr>
          <w:rFonts w:hint="eastAsia" w:ascii="宋体" w:hAnsi="宋体" w:cs="宋体"/>
          <w:sz w:val="24"/>
          <w:szCs w:val="24"/>
          <w:lang w:eastAsia="zh-CN"/>
        </w:rPr>
        <w:t>、</w:t>
      </w:r>
      <w:r>
        <w:rPr>
          <w:rFonts w:hint="eastAsia" w:ascii="宋体" w:hAnsi="宋体" w:cs="宋体"/>
          <w:sz w:val="24"/>
          <w:szCs w:val="24"/>
        </w:rPr>
        <w:t>冷弯型钢</w:t>
      </w:r>
      <w:r>
        <w:rPr>
          <w:rFonts w:hint="eastAsia" w:ascii="宋体" w:hAnsi="宋体" w:cs="宋体"/>
          <w:sz w:val="24"/>
          <w:szCs w:val="24"/>
          <w:lang w:eastAsia="zh-CN"/>
        </w:rPr>
        <w:t>及配套设施</w:t>
      </w:r>
      <w:r>
        <w:rPr>
          <w:rFonts w:hint="eastAsia" w:ascii="宋体" w:hAnsi="宋体" w:cs="宋体"/>
          <w:sz w:val="24"/>
          <w:szCs w:val="24"/>
        </w:rPr>
        <w:t>。</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二、工程变动情况</w:t>
      </w:r>
    </w:p>
    <w:p>
      <w:pPr>
        <w:keepNext w:val="0"/>
        <w:keepLines w:val="0"/>
        <w:pageBreakBefore w:val="0"/>
        <w:kinsoku/>
        <w:wordWrap/>
        <w:overflowPunct/>
        <w:topLinePunct w:val="0"/>
        <w:autoSpaceDE/>
        <w:autoSpaceDN/>
        <w:bidi w:val="0"/>
        <w:adjustRightInd/>
        <w:spacing w:line="384" w:lineRule="auto"/>
        <w:ind w:firstLine="480" w:firstLineChars="200"/>
        <w:textAlignment w:val="auto"/>
        <w:rPr>
          <w:rFonts w:ascii="宋体" w:hAnsi="宋体" w:cs="宋体"/>
          <w:color w:val="FF0000"/>
          <w:sz w:val="24"/>
          <w:szCs w:val="24"/>
        </w:rPr>
      </w:pPr>
      <w:r>
        <w:rPr>
          <w:rFonts w:hint="eastAsia" w:ascii="宋体" w:hAnsi="宋体" w:cs="宋体"/>
          <w:color w:val="000000"/>
          <w:sz w:val="24"/>
          <w:szCs w:val="24"/>
          <w:lang w:eastAsia="zh-CN"/>
        </w:rPr>
        <w:t>本项目无变动情况。</w:t>
      </w:r>
    </w:p>
    <w:p>
      <w:pPr>
        <w:keepNext w:val="0"/>
        <w:keepLines w:val="0"/>
        <w:pageBreakBefore w:val="0"/>
        <w:widowControl/>
        <w:kinsoku/>
        <w:wordWrap/>
        <w:overflowPunct/>
        <w:topLinePunct w:val="0"/>
        <w:autoSpaceDE/>
        <w:autoSpaceDN/>
        <w:bidi w:val="0"/>
        <w:adjustRightInd/>
        <w:snapToGrid/>
        <w:spacing w:line="384" w:lineRule="auto"/>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三、环境保护设施建设情况</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sectPr>
          <w:headerReference r:id="rId21" w:type="default"/>
          <w:footerReference r:id="rId22" w:type="default"/>
          <w:pgSz w:w="11849" w:h="16781"/>
          <w:pgMar w:top="1440" w:right="1800" w:bottom="1440" w:left="1800" w:header="1134" w:footer="1134" w:gutter="0"/>
          <w:paperSrc/>
          <w:pgNumType w:fmt="decimal"/>
          <w:cols w:space="0" w:num="1"/>
          <w:rtlGutter w:val="0"/>
          <w:docGrid w:type="lines" w:linePitch="315" w:charSpace="0"/>
        </w:sectPr>
      </w:pPr>
      <w:r>
        <w:rPr>
          <w:rFonts w:hint="eastAsia" w:ascii="宋体" w:hAnsi="宋体" w:eastAsia="宋体" w:cs="宋体"/>
          <w:sz w:val="24"/>
          <w:szCs w:val="24"/>
          <w:lang w:eastAsia="zh-CN"/>
        </w:rPr>
        <w:t>（一）废水</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本项目实施雨污分流，设雨污水排口各1个，雨水排入六合经济开发区雨水管网。本项目废水为职工生活污水和食堂废水，食堂废水经隔油隔渣池与生活污水一并接入经济开发区污水管网。</w:t>
      </w:r>
    </w:p>
    <w:p>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（二）废气</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本项目焊接烟尘通过安装排风扇，加强车间通风等措施，减少焊接烟尘无组织排放</w:t>
      </w:r>
      <w:r>
        <w:rPr>
          <w:rFonts w:hint="eastAsia" w:ascii="宋体" w:hAnsi="宋体" w:cs="宋体"/>
          <w:sz w:val="24"/>
          <w:szCs w:val="24"/>
          <w:lang w:eastAsia="zh-CN"/>
        </w:rPr>
        <w:t>；</w:t>
      </w:r>
      <w:r>
        <w:rPr>
          <w:rFonts w:hint="eastAsia" w:ascii="宋体" w:hAnsi="宋体" w:eastAsia="宋体" w:cs="宋体"/>
          <w:sz w:val="24"/>
          <w:szCs w:val="24"/>
        </w:rPr>
        <w:t>切割金属粉尘自然沉降后及时清扫</w:t>
      </w:r>
      <w:r>
        <w:rPr>
          <w:rFonts w:hint="eastAsia" w:ascii="宋体" w:hAnsi="宋体" w:cs="宋体"/>
          <w:sz w:val="24"/>
          <w:szCs w:val="24"/>
          <w:lang w:eastAsia="zh-CN"/>
        </w:rPr>
        <w:t>；</w:t>
      </w:r>
      <w:r>
        <w:rPr>
          <w:rFonts w:hint="eastAsia" w:ascii="宋体" w:hAnsi="宋体" w:eastAsia="宋体" w:cs="宋体"/>
          <w:sz w:val="24"/>
          <w:szCs w:val="24"/>
        </w:rPr>
        <w:t>油烟</w:t>
      </w:r>
      <w:r>
        <w:rPr>
          <w:rFonts w:hint="eastAsia" w:ascii="宋体" w:hAnsi="宋体" w:cs="宋体"/>
          <w:sz w:val="24"/>
          <w:szCs w:val="24"/>
          <w:lang w:eastAsia="zh-CN"/>
        </w:rPr>
        <w:t>废气</w:t>
      </w:r>
      <w:r>
        <w:rPr>
          <w:rFonts w:hint="eastAsia" w:ascii="宋体" w:hAnsi="宋体" w:eastAsia="宋体" w:cs="宋体"/>
          <w:sz w:val="24"/>
          <w:szCs w:val="24"/>
        </w:rPr>
        <w:t>通过安装油烟净化装置处理后，经排气筒排放。</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（三）噪声</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本项目噪声主要来源于高强压型钢板机组、数控折弯机、自动剪板机等，夜间不生产，通过选用低噪声设备、减震隔声等措施降噪。</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（四）固体废物</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cs="宋体"/>
          <w:color w:val="000000"/>
          <w:sz w:val="24"/>
          <w:szCs w:val="24"/>
        </w:rPr>
      </w:pPr>
      <w:r>
        <w:rPr>
          <w:rFonts w:hint="eastAsia" w:ascii="宋体" w:hAnsi="宋体" w:cs="宋体"/>
          <w:color w:val="000000"/>
          <w:sz w:val="24"/>
          <w:szCs w:val="24"/>
          <w:lang w:eastAsia="zh-CN"/>
        </w:rPr>
        <w:t>本项目</w:t>
      </w:r>
      <w:r>
        <w:rPr>
          <w:rFonts w:hint="eastAsia" w:ascii="宋体" w:hAnsi="宋体" w:cs="宋体"/>
          <w:color w:val="000000"/>
          <w:sz w:val="24"/>
          <w:szCs w:val="24"/>
        </w:rPr>
        <w:t>边角料、收集粉尘、废焊条综合利用；废机油危险废物暂存危废仓库；生活垃圾、废油手套等经收集后由环卫部门统一处理。</w:t>
      </w:r>
    </w:p>
    <w:p>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四、环境保护设施调试效果</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（一）污染物达标排放情况</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cs="宋体"/>
          <w:sz w:val="24"/>
          <w:szCs w:val="24"/>
          <w:lang w:val="en-US" w:eastAsia="zh-CN"/>
        </w:rPr>
      </w:pPr>
      <w:r>
        <w:rPr>
          <w:rFonts w:hint="eastAsia" w:ascii="宋体" w:hAnsi="宋体" w:eastAsia="宋体" w:cs="宋体"/>
          <w:sz w:val="24"/>
          <w:szCs w:val="24"/>
          <w:lang w:val="en-US" w:eastAsia="zh-CN"/>
        </w:rPr>
        <w:t>1.废</w:t>
      </w:r>
      <w:r>
        <w:rPr>
          <w:rFonts w:hint="eastAsia" w:ascii="宋体" w:hAnsi="宋体" w:cs="宋体"/>
          <w:sz w:val="24"/>
          <w:szCs w:val="24"/>
          <w:lang w:val="en-US" w:eastAsia="zh-CN"/>
        </w:rPr>
        <w:t xml:space="preserve">水                            </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cs="宋体"/>
          <w:color w:val="000000"/>
          <w:sz w:val="24"/>
          <w:szCs w:val="24"/>
          <w:lang w:eastAsia="zh-CN"/>
        </w:rPr>
      </w:pPr>
      <w:r>
        <w:rPr>
          <w:rFonts w:hint="eastAsia" w:ascii="宋体" w:hAnsi="宋体" w:cs="宋体"/>
          <w:color w:val="auto"/>
          <w:sz w:val="24"/>
          <w:szCs w:val="24"/>
          <w:lang w:eastAsia="zh-CN"/>
        </w:rPr>
        <w:t>经监测，</w:t>
      </w:r>
      <w:r>
        <w:rPr>
          <w:rFonts w:hint="eastAsia" w:ascii="宋体" w:hAnsi="宋体" w:cs="宋体"/>
          <w:color w:val="000000"/>
          <w:sz w:val="24"/>
          <w:szCs w:val="24"/>
          <w:lang w:eastAsia="zh-CN"/>
        </w:rPr>
        <w:t>废水排口中pH、化学需氧量、悬浮物、动植物油日均排放浓度均符合《污水综合排放标准》（GB8978-1996）表4中三级标准，氨氮、总磷日均排放浓度符合均符合《污水排入城镇下水道水质标准》（批复标准）及《污水排入城镇下水道水质标准》（GB/T31962-2015）（参照标准）。</w:t>
      </w:r>
    </w:p>
    <w:p>
      <w:pPr>
        <w:keepNext w:val="0"/>
        <w:keepLines w:val="0"/>
        <w:pageBreakBefore w:val="0"/>
        <w:numPr>
          <w:ilvl w:val="0"/>
          <w:numId w:val="11"/>
        </w:numPr>
        <w:kinsoku/>
        <w:wordWrap/>
        <w:overflowPunct/>
        <w:topLinePunct w:val="0"/>
        <w:autoSpaceDE/>
        <w:autoSpaceDN/>
        <w:bidi w:val="0"/>
        <w:adjustRightInd/>
        <w:spacing w:line="360" w:lineRule="auto"/>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废气</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000000"/>
          <w:sz w:val="24"/>
          <w:szCs w:val="24"/>
          <w:lang w:eastAsia="zh-CN"/>
        </w:rPr>
      </w:pPr>
      <w:r>
        <w:rPr>
          <w:rFonts w:hint="eastAsia" w:ascii="宋体" w:hAnsi="宋体" w:cs="宋体"/>
          <w:color w:val="000000"/>
          <w:sz w:val="24"/>
          <w:szCs w:val="24"/>
          <w:lang w:eastAsia="zh-CN"/>
        </w:rPr>
        <w:t>经监测，本项目无组织废气颗粒物小时排放浓度符合《大气污染物综合排放标准》（GB16297-1996）表2中无组织排放监控浓度限值。</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lang w:eastAsia="zh-CN"/>
        </w:rPr>
      </w:pPr>
      <w:r>
        <w:rPr>
          <w:rFonts w:hint="eastAsia" w:ascii="宋体" w:hAnsi="宋体" w:cs="宋体"/>
          <w:sz w:val="24"/>
          <w:szCs w:val="24"/>
          <w:lang w:val="en-US" w:eastAsia="zh-CN"/>
        </w:rPr>
        <w:t>3</w:t>
      </w:r>
      <w:r>
        <w:rPr>
          <w:rFonts w:hint="eastAsia" w:ascii="宋体" w:hAnsi="宋体" w:eastAsia="宋体" w:cs="宋体"/>
          <w:sz w:val="24"/>
          <w:szCs w:val="24"/>
          <w:lang w:eastAsia="zh-CN"/>
        </w:rPr>
        <w:t>.厂界噪声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cs="宋体"/>
          <w:color w:val="000000"/>
          <w:sz w:val="24"/>
          <w:szCs w:val="24"/>
          <w:lang w:eastAsia="zh-CN"/>
        </w:rPr>
        <w:t>经监测，</w:t>
      </w:r>
      <w:r>
        <w:rPr>
          <w:rFonts w:hint="eastAsia" w:ascii="宋体" w:hAnsi="宋体" w:eastAsia="宋体" w:cs="宋体"/>
          <w:color w:val="000000"/>
          <w:sz w:val="24"/>
          <w:szCs w:val="24"/>
        </w:rPr>
        <w:t>本项目厂界昼间噪声符合《工业企业厂界环境噪声排放标准》（GB12348-2008）2类标准。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color w:val="auto"/>
          <w:kern w:val="0"/>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污染物排放总量</w:t>
      </w: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000000"/>
          <w:sz w:val="24"/>
          <w:szCs w:val="24"/>
        </w:rPr>
      </w:pPr>
      <w:r>
        <w:rPr>
          <w:rFonts w:hint="eastAsia" w:ascii="宋体" w:hAnsi="宋体" w:cs="宋体"/>
          <w:color w:val="000000"/>
          <w:sz w:val="24"/>
          <w:szCs w:val="24"/>
        </w:rPr>
        <w:t>项目废水中废水量、CODcr、SS、氨氮、总磷、动植物油的排放量分别为720t/a、0.0259t/a、0.0072t/a、0.0095t/a、0.0007t/a、0.0001t/a。</w:t>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left"/>
        <w:textAlignment w:val="auto"/>
        <w:outlineLvl w:val="9"/>
        <w:rPr>
          <w:rFonts w:hint="eastAsia" w:ascii="宋体" w:hAnsi="宋体" w:eastAsia="宋体" w:cs="宋体"/>
          <w:sz w:val="24"/>
          <w:szCs w:val="24"/>
          <w:lang w:eastAsia="zh-CN"/>
        </w:rPr>
        <w:sectPr>
          <w:headerReference r:id="rId23" w:type="default"/>
          <w:footerReference r:id="rId24" w:type="default"/>
          <w:pgSz w:w="11849" w:h="16781"/>
          <w:pgMar w:top="1440" w:right="1800" w:bottom="1440" w:left="1800" w:header="567" w:footer="1134" w:gutter="0"/>
          <w:paperSrc/>
          <w:pgNumType w:fmt="decimal"/>
          <w:cols w:space="0" w:num="1"/>
          <w:rtlGutter w:val="0"/>
          <w:docGrid w:type="lines" w:linePitch="315" w:charSpace="0"/>
        </w:sectPr>
      </w:pP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center"/>
        <w:textAlignment w:val="auto"/>
        <w:outlineLvl w:val="9"/>
        <w:rPr>
          <w:rFonts w:hint="eastAsia" w:ascii="宋体" w:hAnsi="宋体" w:eastAsia="宋体" w:cs="宋体"/>
          <w:sz w:val="24"/>
          <w:szCs w:val="24"/>
          <w:lang w:eastAsia="zh-CN"/>
        </w:rPr>
        <w:sectPr>
          <w:headerReference r:id="rId25" w:type="default"/>
          <w:footerReference r:id="rId26" w:type="default"/>
          <w:pgSz w:w="11849" w:h="16781"/>
          <w:pgMar w:top="1440" w:right="1800" w:bottom="1440" w:left="1800" w:header="567" w:footer="1134" w:gutter="0"/>
          <w:paperSrc/>
          <w:pgNumType w:fmt="decimal"/>
          <w:cols w:space="0" w:num="1"/>
          <w:rtlGutter w:val="0"/>
          <w:docGrid w:type="lines" w:linePitch="315" w:charSpace="0"/>
        </w:sectPr>
      </w:pPr>
      <w:r>
        <w:drawing>
          <wp:inline distT="0" distB="0" distL="114300" distR="114300">
            <wp:extent cx="5106670" cy="8780145"/>
            <wp:effectExtent l="0" t="0" r="1778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7"/>
                    <a:srcRect l="14124" t="7232" r="14516" b="6220"/>
                    <a:stretch>
                      <a:fillRect/>
                    </a:stretch>
                  </pic:blipFill>
                  <pic:spPr>
                    <a:xfrm>
                      <a:off x="0" y="0"/>
                      <a:ext cx="5106670" cy="878014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84" w:lineRule="auto"/>
        <w:ind w:left="0" w:leftChars="0" w:right="0" w:rightChars="0"/>
        <w:jc w:val="center"/>
        <w:textAlignment w:val="auto"/>
        <w:outlineLvl w:val="9"/>
        <w:rPr>
          <w:rFonts w:hint="eastAsia" w:ascii="宋体" w:hAnsi="宋体" w:eastAsia="宋体" w:cs="宋体"/>
          <w:sz w:val="24"/>
          <w:szCs w:val="24"/>
          <w:lang w:eastAsia="zh-CN"/>
        </w:rPr>
        <w:sectPr>
          <w:headerReference r:id="rId27" w:type="default"/>
          <w:footerReference r:id="rId28" w:type="default"/>
          <w:pgSz w:w="11849" w:h="16781"/>
          <w:pgMar w:top="1440" w:right="1800" w:bottom="1440" w:left="1800" w:header="567" w:footer="1134" w:gutter="0"/>
          <w:paperSrc/>
          <w:pgNumType w:fmt="decimal"/>
          <w:cols w:space="0" w:num="1"/>
          <w:rtlGutter w:val="0"/>
          <w:docGrid w:type="lines" w:linePitch="315" w:charSpace="0"/>
        </w:sectPr>
      </w:pPr>
      <w:bookmarkStart w:id="290" w:name="_GoBack"/>
      <w:r>
        <w:drawing>
          <wp:inline distT="0" distB="0" distL="114300" distR="114300">
            <wp:extent cx="5432425" cy="7285990"/>
            <wp:effectExtent l="0" t="0" r="15875" b="1016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8"/>
                    <a:srcRect l="7264" t="7829" r="3602" b="7854"/>
                    <a:stretch>
                      <a:fillRect/>
                    </a:stretch>
                  </pic:blipFill>
                  <pic:spPr>
                    <a:xfrm>
                      <a:off x="0" y="0"/>
                      <a:ext cx="5432425" cy="7285990"/>
                    </a:xfrm>
                    <a:prstGeom prst="rect">
                      <a:avLst/>
                    </a:prstGeom>
                    <a:noFill/>
                    <a:ln w="9525">
                      <a:noFill/>
                    </a:ln>
                  </pic:spPr>
                </pic:pic>
              </a:graphicData>
            </a:graphic>
          </wp:inline>
        </w:drawing>
      </w:r>
      <w:bookmarkEnd w:id="290"/>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000000"/>
          <w:spacing w:val="0"/>
          <w:sz w:val="44"/>
          <w:szCs w:val="44"/>
          <w:shd w:val="clear" w:color="auto" w:fill="FFFFFF"/>
        </w:rPr>
      </w:pPr>
      <w:r>
        <w:rPr>
          <w:rFonts w:hint="default" w:ascii="Helvetica Neue" w:hAnsi="Helvetica Neue" w:eastAsia="Helvetica Neue" w:cs="Helvetica Neue"/>
          <w:b w:val="0"/>
          <w:i w:val="0"/>
          <w:caps w:val="0"/>
          <w:color w:val="000000"/>
          <w:spacing w:val="0"/>
          <w:sz w:val="44"/>
          <w:szCs w:val="44"/>
          <w:shd w:val="clear" w:color="auto" w:fill="FFFFFF"/>
        </w:rPr>
        <w:t>第</w:t>
      </w:r>
      <w:r>
        <w:rPr>
          <w:rFonts w:hint="eastAsia" w:ascii="Helvetica Neue" w:hAnsi="Helvetica Neue" w:eastAsia="宋体" w:cs="Helvetica Neue"/>
          <w:b w:val="0"/>
          <w:i w:val="0"/>
          <w:caps w:val="0"/>
          <w:color w:val="000000"/>
          <w:spacing w:val="0"/>
          <w:sz w:val="44"/>
          <w:szCs w:val="44"/>
          <w:shd w:val="clear" w:color="auto" w:fill="FFFFFF"/>
          <w:lang w:eastAsia="zh-CN"/>
        </w:rPr>
        <w:t>三</w:t>
      </w:r>
      <w:r>
        <w:rPr>
          <w:rFonts w:hint="default" w:ascii="Helvetica Neue" w:hAnsi="Helvetica Neue" w:eastAsia="Helvetica Neue" w:cs="Helvetica Neue"/>
          <w:b w:val="0"/>
          <w:i w:val="0"/>
          <w:caps w:val="0"/>
          <w:color w:val="000000"/>
          <w:spacing w:val="0"/>
          <w:sz w:val="44"/>
          <w:szCs w:val="44"/>
          <w:shd w:val="clear" w:color="auto" w:fill="FFFFFF"/>
        </w:rPr>
        <w:t>部分</w:t>
      </w:r>
    </w:p>
    <w:p>
      <w:pPr>
        <w:tabs>
          <w:tab w:val="left" w:pos="1277"/>
        </w:tabs>
        <w:jc w:val="center"/>
        <w:rPr>
          <w:rFonts w:hint="eastAsia" w:ascii="Helvetica Neue" w:hAnsi="Helvetica Neue" w:eastAsia="宋体" w:cs="Helvetica Neue"/>
          <w:b w:val="0"/>
          <w:i w:val="0"/>
          <w:caps w:val="0"/>
          <w:color w:val="000000"/>
          <w:spacing w:val="0"/>
          <w:sz w:val="44"/>
          <w:szCs w:val="44"/>
          <w:shd w:val="clear" w:color="auto" w:fill="FFFFFF"/>
          <w:lang w:eastAsia="zh-CN"/>
        </w:rPr>
      </w:pPr>
      <w:r>
        <w:rPr>
          <w:rFonts w:hint="eastAsia" w:ascii="Helvetica Neue" w:hAnsi="Helvetica Neue" w:eastAsia="宋体" w:cs="Helvetica Neue"/>
          <w:b w:val="0"/>
          <w:i w:val="0"/>
          <w:caps w:val="0"/>
          <w:color w:val="000000"/>
          <w:spacing w:val="0"/>
          <w:sz w:val="44"/>
          <w:szCs w:val="44"/>
          <w:shd w:val="clear" w:color="auto" w:fill="FFFFFF"/>
          <w:lang w:eastAsia="zh-CN"/>
        </w:rPr>
        <w:t>其他需要说明的事项</w:t>
      </w:r>
    </w:p>
    <w:p>
      <w:pPr>
        <w:spacing w:line="240" w:lineRule="auto"/>
        <w:jc w:val="center"/>
        <w:rPr>
          <w:rFonts w:hint="eastAsia"/>
        </w:rPr>
        <w:sectPr>
          <w:footerReference r:id="rId29" w:type="default"/>
          <w:pgSz w:w="11906" w:h="16838"/>
          <w:pgMar w:top="1440" w:right="1588" w:bottom="1440" w:left="158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spacing w:beforeLines="0" w:afterLines="0" w:line="360" w:lineRule="auto"/>
        <w:jc w:val="center"/>
        <w:rPr>
          <w:rFonts w:hint="eastAsia" w:ascii="仿宋" w:hAnsi="仿宋" w:eastAsia="仿宋" w:cs="仿宋"/>
          <w:b/>
          <w:bCs/>
          <w:sz w:val="24"/>
          <w:szCs w:val="24"/>
          <w:u w:val="none"/>
          <w:lang w:val="en-US" w:eastAsia="zh-CN"/>
        </w:rPr>
      </w:pPr>
      <w:r>
        <w:rPr>
          <w:rFonts w:hint="eastAsia" w:ascii="仿宋" w:hAnsi="仿宋" w:eastAsia="仿宋" w:cs="仿宋"/>
          <w:b/>
          <w:bCs/>
          <w:color w:val="auto"/>
          <w:sz w:val="24"/>
          <w:szCs w:val="24"/>
          <w:lang w:val="en-US" w:eastAsia="zh-CN"/>
        </w:rPr>
        <w:t>江苏银环新材料科技有限公司</w:t>
      </w:r>
      <w:r>
        <w:rPr>
          <w:rFonts w:hint="eastAsia" w:ascii="仿宋" w:hAnsi="仿宋" w:eastAsia="仿宋" w:cs="仿宋"/>
          <w:b/>
          <w:bCs/>
          <w:sz w:val="24"/>
          <w:szCs w:val="24"/>
          <w:u w:val="none"/>
          <w:lang w:val="en-US" w:eastAsia="zh-CN"/>
        </w:rPr>
        <w:t>自承式轻质钢筋桁架楼承板（第五代）</w:t>
      </w:r>
    </w:p>
    <w:p>
      <w:pPr>
        <w:spacing w:beforeLines="0" w:afterLines="0" w:line="360" w:lineRule="auto"/>
        <w:jc w:val="center"/>
        <w:rPr>
          <w:rFonts w:hint="eastAsia" w:ascii="仿宋" w:hAnsi="仿宋" w:eastAsia="仿宋" w:cs="仿宋"/>
          <w:b/>
          <w:bCs/>
          <w:color w:val="auto"/>
          <w:sz w:val="24"/>
          <w:szCs w:val="24"/>
          <w:lang w:eastAsia="zh-CN"/>
        </w:rPr>
      </w:pPr>
      <w:r>
        <w:rPr>
          <w:rFonts w:hint="eastAsia" w:ascii="仿宋" w:hAnsi="仿宋" w:eastAsia="仿宋" w:cs="仿宋"/>
          <w:b/>
          <w:bCs/>
          <w:sz w:val="24"/>
          <w:szCs w:val="24"/>
          <w:u w:val="none"/>
          <w:lang w:val="en-US" w:eastAsia="zh-CN"/>
        </w:rPr>
        <w:t>生产线项目</w:t>
      </w:r>
      <w:r>
        <w:rPr>
          <w:rFonts w:hint="eastAsia" w:ascii="仿宋" w:hAnsi="仿宋" w:eastAsia="仿宋" w:cs="仿宋"/>
          <w:b/>
          <w:bCs/>
          <w:color w:val="auto"/>
          <w:sz w:val="24"/>
          <w:szCs w:val="24"/>
          <w:lang w:eastAsia="zh-CN"/>
        </w:rPr>
        <w:t>其他需要说明的事项</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sz w:val="21"/>
          <w:szCs w:val="21"/>
        </w:rPr>
      </w:pPr>
      <w:r>
        <w:rPr>
          <w:rFonts w:hint="eastAsia" w:ascii="宋体" w:hAnsi="宋体" w:eastAsia="宋体"/>
          <w:sz w:val="21"/>
          <w:szCs w:val="21"/>
        </w:rPr>
        <w:t>1 环境保护设施设计、施工和验收过程简况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sz w:val="21"/>
          <w:szCs w:val="21"/>
        </w:rPr>
      </w:pPr>
      <w:r>
        <w:rPr>
          <w:rFonts w:hint="eastAsia" w:ascii="宋体" w:hAnsi="宋体" w:eastAsia="宋体"/>
          <w:sz w:val="21"/>
          <w:szCs w:val="21"/>
        </w:rPr>
        <w:t>1.1 设计简况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建设项目的环境保护设施</w:t>
      </w:r>
      <w:r>
        <w:rPr>
          <w:rFonts w:hint="eastAsia" w:ascii="宋体" w:hAnsi="宋体"/>
          <w:color w:val="auto"/>
          <w:sz w:val="21"/>
          <w:szCs w:val="21"/>
          <w:lang w:eastAsia="zh-CN"/>
        </w:rPr>
        <w:t>已</w:t>
      </w:r>
      <w:r>
        <w:rPr>
          <w:rFonts w:hint="eastAsia" w:ascii="宋体" w:hAnsi="宋体" w:eastAsia="宋体"/>
          <w:color w:val="auto"/>
          <w:sz w:val="21"/>
          <w:szCs w:val="21"/>
        </w:rPr>
        <w:t>纳入了初步设计，环境保护设施的设计是符合环境保护设计规范的要求，</w:t>
      </w:r>
      <w:r>
        <w:rPr>
          <w:rFonts w:hint="eastAsia" w:ascii="宋体" w:hAnsi="宋体"/>
          <w:color w:val="auto"/>
          <w:sz w:val="21"/>
          <w:szCs w:val="21"/>
          <w:lang w:eastAsia="zh-CN"/>
        </w:rPr>
        <w:t>已</w:t>
      </w:r>
      <w:r>
        <w:rPr>
          <w:rFonts w:hint="eastAsia" w:ascii="宋体" w:hAnsi="宋体" w:eastAsia="宋体"/>
          <w:color w:val="auto"/>
          <w:sz w:val="21"/>
          <w:szCs w:val="21"/>
        </w:rPr>
        <w:t>落实了防止污染和生态破环的措施以及环境保护设施投资概算。</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sz w:val="21"/>
          <w:szCs w:val="21"/>
        </w:rPr>
      </w:pPr>
      <w:r>
        <w:rPr>
          <w:rFonts w:hint="eastAsia" w:ascii="宋体" w:hAnsi="宋体" w:eastAsia="宋体"/>
          <w:sz w:val="21"/>
          <w:szCs w:val="21"/>
        </w:rPr>
        <w:t>1.2 施工简况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建设项目的环境保护设施</w:t>
      </w:r>
      <w:r>
        <w:rPr>
          <w:rFonts w:hint="eastAsia" w:ascii="宋体" w:hAnsi="宋体"/>
          <w:color w:val="auto"/>
          <w:sz w:val="21"/>
          <w:szCs w:val="21"/>
          <w:lang w:eastAsia="zh-CN"/>
        </w:rPr>
        <w:t>已</w:t>
      </w:r>
      <w:r>
        <w:rPr>
          <w:rFonts w:hint="eastAsia" w:ascii="宋体" w:hAnsi="宋体" w:eastAsia="宋体"/>
          <w:color w:val="auto"/>
          <w:sz w:val="21"/>
          <w:szCs w:val="21"/>
        </w:rPr>
        <w:t>纳入了施工合同，环境保护设施的建设进度和资金是得到了保证，项目建设过程中实施了环境影响报告</w:t>
      </w:r>
      <w:r>
        <w:rPr>
          <w:rFonts w:hint="eastAsia" w:ascii="宋体" w:hAnsi="宋体"/>
          <w:color w:val="auto"/>
          <w:sz w:val="21"/>
          <w:szCs w:val="21"/>
          <w:lang w:eastAsia="zh-CN"/>
        </w:rPr>
        <w:t>表</w:t>
      </w:r>
      <w:r>
        <w:rPr>
          <w:rFonts w:hint="eastAsia" w:ascii="宋体" w:hAnsi="宋体" w:eastAsia="宋体"/>
          <w:color w:val="auto"/>
          <w:sz w:val="21"/>
          <w:szCs w:val="21"/>
        </w:rPr>
        <w:t>及其审批部门审批决定中提出的环境保护对策措施。</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sz w:val="21"/>
          <w:szCs w:val="21"/>
        </w:rPr>
      </w:pPr>
      <w:r>
        <w:rPr>
          <w:rFonts w:hint="eastAsia" w:ascii="宋体" w:hAnsi="宋体" w:eastAsia="宋体"/>
          <w:sz w:val="21"/>
          <w:szCs w:val="21"/>
        </w:rPr>
        <w:t>1.3 验收过程简况</w:t>
      </w:r>
    </w:p>
    <w:p>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FF0000"/>
          <w:sz w:val="21"/>
          <w:szCs w:val="21"/>
        </w:rPr>
      </w:pPr>
      <w:r>
        <w:rPr>
          <w:rFonts w:hint="eastAsia" w:ascii="宋体" w:hAnsi="宋体" w:eastAsia="宋体"/>
          <w:color w:val="auto"/>
          <w:sz w:val="21"/>
          <w:szCs w:val="21"/>
          <w:lang w:val="en-US" w:eastAsia="zh-CN"/>
        </w:rPr>
        <w:t>建设项目竣工时间</w:t>
      </w:r>
      <w:r>
        <w:rPr>
          <w:rFonts w:hint="eastAsia" w:ascii="宋体" w:hAnsi="宋体" w:eastAsia="宋体"/>
          <w:color w:val="000000" w:themeColor="text1"/>
          <w:sz w:val="21"/>
          <w:szCs w:val="21"/>
          <w:lang w:val="en-US" w:eastAsia="zh-CN"/>
          <w14:textFill>
            <w14:solidFill>
              <w14:schemeClr w14:val="tx1"/>
            </w14:solidFill>
          </w14:textFill>
        </w:rPr>
        <w:t>为201</w:t>
      </w:r>
      <w:r>
        <w:rPr>
          <w:rFonts w:hint="eastAsia" w:ascii="宋体" w:hAnsi="宋体"/>
          <w:color w:val="000000" w:themeColor="text1"/>
          <w:sz w:val="21"/>
          <w:szCs w:val="21"/>
          <w:lang w:val="en-US" w:eastAsia="zh-CN"/>
          <w14:textFill>
            <w14:solidFill>
              <w14:schemeClr w14:val="tx1"/>
            </w14:solidFill>
          </w14:textFill>
        </w:rPr>
        <w:t>8</w:t>
      </w:r>
      <w:r>
        <w:rPr>
          <w:rFonts w:hint="eastAsia" w:ascii="宋体" w:hAnsi="宋体" w:eastAsia="宋体"/>
          <w:color w:val="000000" w:themeColor="text1"/>
          <w:sz w:val="21"/>
          <w:szCs w:val="21"/>
          <w:lang w:val="en-US" w:eastAsia="zh-CN"/>
          <w14:textFill>
            <w14:solidFill>
              <w14:schemeClr w14:val="tx1"/>
            </w14:solidFill>
          </w14:textFill>
        </w:rPr>
        <w:t>年</w:t>
      </w:r>
      <w:r>
        <w:rPr>
          <w:rFonts w:hint="eastAsia" w:ascii="宋体" w:hAnsi="宋体"/>
          <w:color w:val="000000" w:themeColor="text1"/>
          <w:sz w:val="21"/>
          <w:szCs w:val="21"/>
          <w:lang w:val="en-US" w:eastAsia="zh-CN"/>
          <w14:textFill>
            <w14:solidFill>
              <w14:schemeClr w14:val="tx1"/>
            </w14:solidFill>
          </w14:textFill>
        </w:rPr>
        <w:t>3</w:t>
      </w:r>
      <w:r>
        <w:rPr>
          <w:rFonts w:hint="eastAsia" w:ascii="宋体" w:hAnsi="宋体" w:eastAsia="宋体"/>
          <w:color w:val="000000" w:themeColor="text1"/>
          <w:sz w:val="21"/>
          <w:szCs w:val="21"/>
          <w:lang w:val="en-US" w:eastAsia="zh-CN"/>
          <w14:textFill>
            <w14:solidFill>
              <w14:schemeClr w14:val="tx1"/>
            </w14:solidFill>
          </w14:textFill>
        </w:rPr>
        <w:t>月，验收工作启动时间2018年</w:t>
      </w:r>
      <w:r>
        <w:rPr>
          <w:rFonts w:hint="eastAsia" w:ascii="宋体" w:hAnsi="宋体"/>
          <w:color w:val="000000" w:themeColor="text1"/>
          <w:sz w:val="21"/>
          <w:szCs w:val="21"/>
          <w:lang w:val="en-US" w:eastAsia="zh-CN"/>
          <w14:textFill>
            <w14:solidFill>
              <w14:schemeClr w14:val="tx1"/>
            </w14:solidFill>
          </w14:textFill>
        </w:rPr>
        <w:t>9</w:t>
      </w:r>
      <w:r>
        <w:rPr>
          <w:rFonts w:hint="eastAsia" w:ascii="宋体" w:hAnsi="宋体" w:eastAsia="宋体"/>
          <w:color w:val="000000" w:themeColor="text1"/>
          <w:sz w:val="21"/>
          <w:szCs w:val="21"/>
          <w:lang w:val="en-US" w:eastAsia="zh-CN"/>
          <w14:textFill>
            <w14:solidFill>
              <w14:schemeClr w14:val="tx1"/>
            </w14:solidFill>
          </w14:textFill>
        </w:rPr>
        <w:t>月，自主验收方式委托南京高博环境科技有限公司进行验收监测，并签订了委托合同。南京高博环境科技有限公司已获得江苏省质量监督局资质认定，CMA号为151012050368。南京高博环境科技有限公司专业技术人员现场勘查时间为2018年</w:t>
      </w:r>
      <w:r>
        <w:rPr>
          <w:rFonts w:hint="eastAsia" w:ascii="宋体" w:hAnsi="宋体"/>
          <w:color w:val="000000" w:themeColor="text1"/>
          <w:sz w:val="21"/>
          <w:szCs w:val="21"/>
          <w:lang w:val="en-US" w:eastAsia="zh-CN"/>
          <w14:textFill>
            <w14:solidFill>
              <w14:schemeClr w14:val="tx1"/>
            </w14:solidFill>
          </w14:textFill>
        </w:rPr>
        <w:t>10</w:t>
      </w:r>
      <w:r>
        <w:rPr>
          <w:rFonts w:hint="eastAsia" w:ascii="宋体" w:hAnsi="宋体" w:eastAsia="宋体"/>
          <w:color w:val="000000" w:themeColor="text1"/>
          <w:sz w:val="21"/>
          <w:szCs w:val="21"/>
          <w:lang w:val="en-US" w:eastAsia="zh-CN"/>
          <w14:textFill>
            <w14:solidFill>
              <w14:schemeClr w14:val="tx1"/>
            </w14:solidFill>
          </w14:textFill>
        </w:rPr>
        <w:t>月</w:t>
      </w:r>
      <w:r>
        <w:rPr>
          <w:rFonts w:hint="eastAsia" w:ascii="宋体" w:hAnsi="宋体"/>
          <w:color w:val="000000" w:themeColor="text1"/>
          <w:sz w:val="21"/>
          <w:szCs w:val="21"/>
          <w:lang w:val="en-US" w:eastAsia="zh-CN"/>
          <w14:textFill>
            <w14:solidFill>
              <w14:schemeClr w14:val="tx1"/>
            </w14:solidFill>
          </w14:textFill>
        </w:rPr>
        <w:t>3</w:t>
      </w:r>
      <w:r>
        <w:rPr>
          <w:rFonts w:hint="eastAsia" w:ascii="宋体" w:hAnsi="宋体" w:eastAsia="宋体"/>
          <w:color w:val="000000" w:themeColor="text1"/>
          <w:sz w:val="21"/>
          <w:szCs w:val="21"/>
          <w:lang w:val="en-US" w:eastAsia="zh-CN"/>
          <w14:textFill>
            <w14:solidFill>
              <w14:schemeClr w14:val="tx1"/>
            </w14:solidFill>
          </w14:textFill>
        </w:rPr>
        <w:t>日，现场验收监测日期为2018年</w:t>
      </w:r>
      <w:r>
        <w:rPr>
          <w:rFonts w:hint="eastAsia" w:ascii="宋体" w:hAnsi="宋体"/>
          <w:color w:val="000000" w:themeColor="text1"/>
          <w:sz w:val="21"/>
          <w:szCs w:val="21"/>
          <w:lang w:val="en-US" w:eastAsia="zh-CN"/>
          <w14:textFill>
            <w14:solidFill>
              <w14:schemeClr w14:val="tx1"/>
            </w14:solidFill>
          </w14:textFill>
        </w:rPr>
        <w:t>10</w:t>
      </w:r>
      <w:r>
        <w:rPr>
          <w:rFonts w:hint="eastAsia" w:ascii="宋体" w:hAnsi="宋体" w:eastAsia="宋体"/>
          <w:color w:val="000000" w:themeColor="text1"/>
          <w:sz w:val="21"/>
          <w:szCs w:val="21"/>
          <w:lang w:val="en-US" w:eastAsia="zh-CN"/>
          <w14:textFill>
            <w14:solidFill>
              <w14:schemeClr w14:val="tx1"/>
            </w14:solidFill>
          </w14:textFill>
        </w:rPr>
        <w:t>月</w:t>
      </w:r>
      <w:r>
        <w:rPr>
          <w:rFonts w:hint="eastAsia" w:ascii="宋体" w:hAnsi="宋体"/>
          <w:color w:val="000000" w:themeColor="text1"/>
          <w:sz w:val="21"/>
          <w:szCs w:val="21"/>
          <w:lang w:val="en-US" w:eastAsia="zh-CN"/>
          <w14:textFill>
            <w14:solidFill>
              <w14:schemeClr w14:val="tx1"/>
            </w14:solidFill>
          </w14:textFill>
        </w:rPr>
        <w:t>24-25</w:t>
      </w:r>
      <w:r>
        <w:rPr>
          <w:rFonts w:hint="eastAsia" w:ascii="宋体" w:hAnsi="宋体" w:eastAsia="宋体"/>
          <w:color w:val="000000" w:themeColor="text1"/>
          <w:sz w:val="21"/>
          <w:szCs w:val="21"/>
          <w:lang w:val="en-US" w:eastAsia="zh-CN"/>
          <w14:textFill>
            <w14:solidFill>
              <w14:schemeClr w14:val="tx1"/>
            </w14:solidFill>
          </w14:textFill>
        </w:rPr>
        <w:t>日，验收监测报告编制完成时间为2018年</w:t>
      </w:r>
      <w:r>
        <w:rPr>
          <w:rFonts w:hint="eastAsia" w:ascii="宋体" w:hAnsi="宋体"/>
          <w:color w:val="000000" w:themeColor="text1"/>
          <w:sz w:val="21"/>
          <w:szCs w:val="21"/>
          <w:lang w:val="en-US" w:eastAsia="zh-CN"/>
          <w14:textFill>
            <w14:solidFill>
              <w14:schemeClr w14:val="tx1"/>
            </w14:solidFill>
          </w14:textFill>
        </w:rPr>
        <w:t>12</w:t>
      </w:r>
      <w:r>
        <w:rPr>
          <w:rFonts w:hint="eastAsia" w:ascii="宋体" w:hAnsi="宋体" w:eastAsia="宋体"/>
          <w:color w:val="000000" w:themeColor="text1"/>
          <w:sz w:val="21"/>
          <w:szCs w:val="21"/>
          <w:lang w:val="en-US" w:eastAsia="zh-CN"/>
          <w14:textFill>
            <w14:solidFill>
              <w14:schemeClr w14:val="tx1"/>
            </w14:solidFill>
          </w14:textFill>
        </w:rPr>
        <w:t>月。</w:t>
      </w:r>
      <w:r>
        <w:rPr>
          <w:rFonts w:hint="eastAsia" w:ascii="宋体" w:hAnsi="宋体"/>
          <w:color w:val="000000" w:themeColor="text1"/>
          <w:sz w:val="21"/>
          <w:szCs w:val="21"/>
          <w:lang w:val="en-US" w:eastAsia="zh-CN"/>
          <w14:textFill>
            <w14:solidFill>
              <w14:schemeClr w14:val="tx1"/>
            </w14:solidFill>
          </w14:textFill>
        </w:rPr>
        <w:t>江苏银环新材料科技有限公司</w:t>
      </w:r>
      <w:r>
        <w:rPr>
          <w:rFonts w:hint="eastAsia" w:ascii="宋体" w:hAnsi="宋体" w:eastAsia="宋体"/>
          <w:color w:val="000000" w:themeColor="text1"/>
          <w:sz w:val="21"/>
          <w:szCs w:val="21"/>
          <w:lang w:val="en-US" w:eastAsia="zh-CN"/>
          <w14:textFill>
            <w14:solidFill>
              <w14:schemeClr w14:val="tx1"/>
            </w14:solidFill>
          </w14:textFill>
        </w:rPr>
        <w:t>于201</w:t>
      </w:r>
      <w:r>
        <w:rPr>
          <w:rFonts w:hint="eastAsia" w:ascii="宋体" w:hAnsi="宋体"/>
          <w:color w:val="000000" w:themeColor="text1"/>
          <w:sz w:val="21"/>
          <w:szCs w:val="21"/>
          <w:lang w:val="en-US" w:eastAsia="zh-CN"/>
          <w14:textFill>
            <w14:solidFill>
              <w14:schemeClr w14:val="tx1"/>
            </w14:solidFill>
          </w14:textFill>
        </w:rPr>
        <w:t>9</w:t>
      </w:r>
      <w:r>
        <w:rPr>
          <w:rFonts w:hint="eastAsia" w:ascii="宋体" w:hAnsi="宋体" w:eastAsia="宋体"/>
          <w:color w:val="000000" w:themeColor="text1"/>
          <w:sz w:val="21"/>
          <w:szCs w:val="21"/>
          <w:lang w:val="en-US" w:eastAsia="zh-CN"/>
          <w14:textFill>
            <w14:solidFill>
              <w14:schemeClr w14:val="tx1"/>
            </w14:solidFill>
          </w14:textFill>
        </w:rPr>
        <w:t>年</w:t>
      </w:r>
      <w:r>
        <w:rPr>
          <w:rFonts w:hint="eastAsia" w:ascii="宋体" w:hAnsi="宋体"/>
          <w:color w:val="000000" w:themeColor="text1"/>
          <w:sz w:val="21"/>
          <w:szCs w:val="21"/>
          <w:lang w:val="en-US" w:eastAsia="zh-CN"/>
          <w14:textFill>
            <w14:solidFill>
              <w14:schemeClr w14:val="tx1"/>
            </w14:solidFill>
          </w14:textFill>
        </w:rPr>
        <w:t>1</w:t>
      </w:r>
      <w:r>
        <w:rPr>
          <w:rFonts w:hint="eastAsia" w:ascii="宋体" w:hAnsi="宋体" w:eastAsia="宋体"/>
          <w:color w:val="000000" w:themeColor="text1"/>
          <w:sz w:val="21"/>
          <w:szCs w:val="21"/>
          <w:lang w:val="en-US" w:eastAsia="zh-CN"/>
          <w14:textFill>
            <w14:solidFill>
              <w14:schemeClr w14:val="tx1"/>
            </w14:solidFill>
          </w14:textFill>
        </w:rPr>
        <w:t>月</w:t>
      </w:r>
      <w:r>
        <w:rPr>
          <w:rFonts w:hint="eastAsia" w:ascii="宋体" w:hAnsi="宋体"/>
          <w:color w:val="000000" w:themeColor="text1"/>
          <w:sz w:val="21"/>
          <w:szCs w:val="21"/>
          <w:lang w:val="en-US" w:eastAsia="zh-CN"/>
          <w14:textFill>
            <w14:solidFill>
              <w14:schemeClr w14:val="tx1"/>
            </w14:solidFill>
          </w14:textFill>
        </w:rPr>
        <w:t>9</w:t>
      </w:r>
      <w:r>
        <w:rPr>
          <w:rFonts w:hint="eastAsia" w:ascii="宋体" w:hAnsi="宋体" w:eastAsia="宋体"/>
          <w:color w:val="000000" w:themeColor="text1"/>
          <w:sz w:val="21"/>
          <w:szCs w:val="21"/>
          <w:lang w:val="en-US" w:eastAsia="zh-CN"/>
          <w14:textFill>
            <w14:solidFill>
              <w14:schemeClr w14:val="tx1"/>
            </w14:solidFill>
          </w14:textFill>
        </w:rPr>
        <w:t>日主持召开了该项目竣工环境保护验收会议。经过相关专家函审于201</w:t>
      </w:r>
      <w:r>
        <w:rPr>
          <w:rFonts w:hint="eastAsia" w:ascii="宋体" w:hAnsi="宋体"/>
          <w:color w:val="000000" w:themeColor="text1"/>
          <w:sz w:val="21"/>
          <w:szCs w:val="21"/>
          <w:lang w:val="en-US" w:eastAsia="zh-CN"/>
          <w14:textFill>
            <w14:solidFill>
              <w14:schemeClr w14:val="tx1"/>
            </w14:solidFill>
          </w14:textFill>
        </w:rPr>
        <w:t>9</w:t>
      </w:r>
      <w:r>
        <w:rPr>
          <w:rFonts w:hint="eastAsia" w:ascii="宋体" w:hAnsi="宋体" w:eastAsia="宋体"/>
          <w:color w:val="000000" w:themeColor="text1"/>
          <w:sz w:val="21"/>
          <w:szCs w:val="21"/>
          <w:lang w:val="en-US" w:eastAsia="zh-CN"/>
          <w14:textFill>
            <w14:solidFill>
              <w14:schemeClr w14:val="tx1"/>
            </w14:solidFill>
          </w14:textFill>
        </w:rPr>
        <w:t>年</w:t>
      </w:r>
      <w:r>
        <w:rPr>
          <w:rFonts w:hint="eastAsia" w:ascii="宋体" w:hAnsi="宋体"/>
          <w:color w:val="000000" w:themeColor="text1"/>
          <w:sz w:val="21"/>
          <w:szCs w:val="21"/>
          <w:lang w:val="en-US" w:eastAsia="zh-CN"/>
          <w14:textFill>
            <w14:solidFill>
              <w14:schemeClr w14:val="tx1"/>
            </w14:solidFill>
          </w14:textFill>
        </w:rPr>
        <w:t>1</w:t>
      </w:r>
      <w:r>
        <w:rPr>
          <w:rFonts w:hint="eastAsia" w:ascii="宋体" w:hAnsi="宋体" w:eastAsia="宋体"/>
          <w:color w:val="000000" w:themeColor="text1"/>
          <w:sz w:val="21"/>
          <w:szCs w:val="21"/>
          <w:lang w:val="en-US" w:eastAsia="zh-CN"/>
          <w14:textFill>
            <w14:solidFill>
              <w14:schemeClr w14:val="tx1"/>
            </w14:solidFill>
          </w14:textFill>
        </w:rPr>
        <w:t>月</w:t>
      </w:r>
      <w:r>
        <w:rPr>
          <w:rFonts w:hint="eastAsia" w:ascii="宋体" w:hAnsi="宋体"/>
          <w:color w:val="000000" w:themeColor="text1"/>
          <w:sz w:val="21"/>
          <w:szCs w:val="21"/>
          <w:lang w:val="en-US" w:eastAsia="zh-CN"/>
          <w14:textFill>
            <w14:solidFill>
              <w14:schemeClr w14:val="tx1"/>
            </w14:solidFill>
          </w14:textFill>
        </w:rPr>
        <w:t>9</w:t>
      </w:r>
      <w:r>
        <w:rPr>
          <w:rFonts w:hint="eastAsia" w:ascii="宋体" w:hAnsi="宋体" w:eastAsia="宋体"/>
          <w:color w:val="000000" w:themeColor="text1"/>
          <w:sz w:val="21"/>
          <w:szCs w:val="21"/>
          <w:lang w:val="en-US" w:eastAsia="zh-CN"/>
          <w14:textFill>
            <w14:solidFill>
              <w14:schemeClr w14:val="tx1"/>
            </w14:solidFill>
          </w14:textFill>
        </w:rPr>
        <w:t>日形成验收意见，主要结论包括：“建设项目主体工程与环保设施已建成，其规模、功能及内容与环评报告表中的规模、功能及内容一致，主要的环境保护设施已按环评文件要求建成。经现场核查，资料查询，</w:t>
      </w:r>
      <w:r>
        <w:rPr>
          <w:rFonts w:hint="eastAsia" w:ascii="宋体" w:hAnsi="宋体"/>
          <w:color w:val="000000" w:themeColor="text1"/>
          <w:sz w:val="21"/>
          <w:szCs w:val="21"/>
          <w:lang w:val="en-US" w:eastAsia="zh-CN"/>
          <w14:textFill>
            <w14:solidFill>
              <w14:schemeClr w14:val="tx1"/>
            </w14:solidFill>
          </w14:textFill>
        </w:rPr>
        <w:t>江苏银环新材料科技有限公司自承式轻质钢筋桁架楼承板（第五代）生产线项目</w:t>
      </w:r>
      <w:r>
        <w:rPr>
          <w:rFonts w:hint="eastAsia" w:ascii="宋体" w:hAnsi="宋体" w:eastAsia="宋体"/>
          <w:color w:val="000000" w:themeColor="text1"/>
          <w:sz w:val="21"/>
          <w:szCs w:val="21"/>
          <w:lang w:val="en-US" w:eastAsia="zh-CN"/>
          <w14:textFill>
            <w14:solidFill>
              <w14:schemeClr w14:val="tx1"/>
            </w14:solidFill>
          </w14:textFill>
        </w:rPr>
        <w:t>建设情况不存在《建设项目竣工环境保护验收暂行办法》第八条中所述的九种情形，该项目竣工环境保护验收合</w:t>
      </w:r>
      <w:r>
        <w:rPr>
          <w:rFonts w:hint="eastAsia" w:ascii="宋体" w:hAnsi="宋体" w:eastAsia="宋体" w:cs="宋体"/>
          <w:color w:val="000000" w:themeColor="text1"/>
          <w:sz w:val="21"/>
          <w:szCs w:val="21"/>
          <w:lang w:val="en-US" w:eastAsia="zh-CN"/>
          <w14:textFill>
            <w14:solidFill>
              <w14:schemeClr w14:val="tx1"/>
            </w14:solidFill>
          </w14:textFill>
        </w:rPr>
        <w:t>格。</w:t>
      </w:r>
      <w:r>
        <w:rPr>
          <w:rFonts w:hint="eastAsia" w:ascii="宋体" w:hAnsi="宋体" w:eastAsia="宋体"/>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2 其他环境保护措施的实施情况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2.1 制度措施落实情况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本项目环评文件及环评批复中无相关要求。</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2.2 配套措施落实情况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本项目不涉及相关内容。</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2.3 其他措施落实情况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本项目环评文件及环评批复中无相关要求。</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3 整改工作情况</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left"/>
        <w:textAlignment w:val="auto"/>
        <w:outlineLvl w:val="9"/>
        <w:rPr>
          <w:rFonts w:hint="eastAsia" w:ascii="宋体" w:hAnsi="宋体"/>
          <w:sz w:val="21"/>
          <w:szCs w:val="21"/>
          <w:lang w:val="en-US" w:eastAsia="zh-CN"/>
        </w:rPr>
      </w:pPr>
      <w:r>
        <w:rPr>
          <w:rFonts w:hint="eastAsia" w:ascii="宋体" w:hAnsi="宋体" w:eastAsia="宋体"/>
          <w:color w:val="auto"/>
          <w:sz w:val="21"/>
          <w:szCs w:val="21"/>
        </w:rPr>
        <w:t>本项目按环评及批复要求落实了相应的环保治理设施，无整改之处。</w:t>
      </w:r>
      <w:r>
        <w:rPr>
          <w:rFonts w:hint="eastAsia" w:ascii="宋体" w:hAnsi="宋体" w:eastAsia="宋体"/>
          <w:color w:val="auto"/>
          <w:sz w:val="21"/>
          <w:szCs w:val="21"/>
          <w:lang w:val="en-US" w:eastAsia="zh-CN"/>
        </w:rPr>
        <w:t xml:space="preserve">      </w:t>
      </w:r>
      <w:r>
        <w:rPr>
          <w:rFonts w:hint="eastAsia" w:ascii="宋体" w:hAnsi="宋体"/>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420" w:firstLineChars="200"/>
        <w:jc w:val="right"/>
        <w:textAlignment w:val="auto"/>
        <w:outlineLvl w:val="9"/>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江苏银环新材料科技有限公司</w:t>
      </w:r>
    </w:p>
    <w:p>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 xml:space="preserve">                                                              2019年1月9日</w:t>
      </w:r>
    </w:p>
    <w:sectPr>
      <w:headerReference r:id="rId30" w:type="default"/>
      <w:footerReference r:id="rId31" w:type="default"/>
      <w:pgSz w:w="11849" w:h="16781"/>
      <w:pgMar w:top="1440" w:right="1800" w:bottom="1440" w:left="1800" w:header="1134" w:footer="1134" w:gutter="0"/>
      <w:paperSrc/>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UtksWAgAAFwQAAA4AAABkcnMvZTJvRG9jLnhtbK1TzY7TMBC+I/EO&#10;lu80adFWVdV0VXZVhFSxKxXE2XWcJpL/ZLtNygPAG3Diwp3n6nPsZ6fpIuCEuNjjmfH8fPPN4rZT&#10;khyF843RBR2PckqE5qZs9L6gHz+sX80o8YHpkkmjRUFPwtPb5csXi9bOxcTURpbCEQTRft7agtYh&#10;2HmWeV4LxfzIWKFhrIxTLODp9lnpWIvoSmaTPJ9mrXGldYYL76G97410meJXleDhoaq8CEQWFLWF&#10;dLp07uKZLRdsvnfM1g2/lMH+oQrFGo2k11D3LDBycM0foVTDnfGmCiNuVGaqquEi9YBuxvlv3Wxr&#10;ZkXqBeB4e4XJ/7+w/P3x0ZGmLOjNlBLNFGZ0/vb1/P3n+ccXAh0Aaq2fw29r4Rm6N6bDoAe9hzL2&#10;3VVOxRsdEdgB9ekKr+gC4fHTbDKb5TBx2IYH4mfP363z4a0wikShoA7zS7Cy48aH3nVwidm0WTdS&#10;phlKTdqCTl/f5OnD1YLgUkdfkdhwCRNb6kuPUuh23aXPnSlPaNOZnine8nWDUjbMh0fmQA2UD7qH&#10;BxyVNEhpLhIltXGf/6aP/pgYrJS0oFpBNXaBEvlOY5KRlYPgBmE3CPqg7gy4O8YaWZ5EfHBBDmLl&#10;jPqEHVjFHDAxzZGpoGEQ70JPd+wQF6tVcgL3LAsbvbU8ho7weLs6BMCZUI6g9EhgOvEB9qU5XTYl&#10;0vvXd/J63u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R1LZLFgIAABcEAAAOAAAAAAAA&#10;AAEAIAAAAB8BAABkcnMvZTJvRG9jLnhtbFBLBQYAAAAABgAGAFkBAACnBQ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r>
                      <w:rPr>
                        <w:rFonts w:hint="eastAsia"/>
                      </w:rPr>
                      <w:t xml:space="preserve"> 页</w:t>
                    </w:r>
                  </w:p>
                </w:txbxContent>
              </v:textbox>
            </v:shape>
          </w:pict>
        </mc:Fallback>
      </mc:AlternateContent>
    </w:r>
    <w:r>
      <w:rPr>
        <w:rFonts w:hint="eastAsia"/>
      </w:rPr>
      <w:t>南京高博环境科技有限公司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755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uL8Q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yoJeYVKaKczo9OP76efv069vBDoA1Fo/g9/GwjN070yHQQ96D2Xs&#10;u6ucijc6IrAD6uMFXtEFwuOn6WQ6zWHisA0PxM+evlvnw3thFIlCQR3ml2Blh7UPvevgErNps2qk&#10;TDOUmrQFvX57lacPFwuCSx19RWLDOUxsqS89SqHbduc+t6Y8ok1neqZ4y1cNSlkzHx6YAzVQPuge&#10;7nFU0iClOUuU1MZ9/Zs++mNisFLSgmoF1dgFSuQHjUlGVg6CG4TtIOi9ujXg7hhrZHkS8cEFOYiV&#10;M+oLdmAZc8DENEemgoZBvA093bFDXCyXyQncsyys9cbyGDrC4+1yHwBnQjmC0iOB6cQH2JfmdN6U&#10;SO8/38nraZ8X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97i/EFgIAABcEAAAOAAAAAAAA&#10;AAEAIAAAAB8BAABkcnMvZTJvRG9jLnhtbFBLBQYAAAAABgAGAFkBAACnBQ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r>
                      <w:rPr>
                        <w:rFonts w:hint="eastAsia"/>
                      </w:rPr>
                      <w:t xml:space="preserve"> 页</w:t>
                    </w:r>
                  </w:p>
                </w:txbxContent>
              </v:textbox>
            </v:shape>
          </w:pict>
        </mc:Fallback>
      </mc:AlternateContent>
    </w:r>
    <w:r>
      <w:rPr>
        <w:rFonts w:hint="eastAsia"/>
      </w:rPr>
      <w:t>南京高博环境科技有限公司</w:t>
    </w:r>
    <w:r>
      <w:rPr>
        <w:rFonts w:hint="eastAsia"/>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eastAsia" w:eastAsia="宋体"/>
        <w:lang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Hbd4XAgAAFwQAAA4AAABkcnMvZTJvRG9jLnhtbK1TzY7TMBC+I/EO&#10;lu80adGuStV0VXZVhFSxKxXE2XWcJpL/ZLtNygPAG3Diwp3n6nPw2Wm6aJcT4mKPZ8bz880385tO&#10;SXIQzjdGF3Q8yikRmpuy0buCfvq4ejWlxAemSyaNFgU9Ck9vFi9fzFs7ExNTG1kKRxBE+1lrC1qH&#10;YGdZ5nktFPMjY4WGsTJOsYCn22WlYy2iK5lN8vw6a40rrTNceA/tXW+kixS/qgQP91XlRSCyoKgt&#10;pNOlcxvPbDFns51jtm74uQz2D1Uo1mgkvYS6Y4GRvWuehVINd8abKoy4UZmpqoaL1AO6GedPutnU&#10;zIrUC8Dx9gKT/39h+YfDgyNNWdCrN5RopjCj0/dvpx+/Tj+/EugAUGv9DH4bC8/QvTUdBj3oPZSx&#10;765yKt7oiMAOqI8XeEUXCI+fppPpNIeJwzY8ED97/G6dD++EUSQKBXWYX4KVHdY+9K6DS8ymzaqR&#10;Ms1QatIW9Pr1V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wdt3hcCAAAXBAAADgAAAAAA&#10;AAABACAAAAAfAQAAZHJzL2Uyb0RvYy54bWxQSwUGAAAAAAYABgBZAQAAqAU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r>
                      <w:rPr>
                        <w:rFonts w:hint="eastAsia"/>
                      </w:rPr>
                      <w:t xml:space="preserve"> 页</w:t>
                    </w:r>
                  </w:p>
                </w:txbxContent>
              </v:textbox>
            </v:shape>
          </w:pict>
        </mc:Fallback>
      </mc:AlternateContent>
    </w:r>
    <w:r>
      <w:rPr>
        <w:rFonts w:hint="eastAsia"/>
      </w:rPr>
      <w:t>南京</w:t>
    </w:r>
    <w:r>
      <w:rPr>
        <w:rFonts w:hint="eastAsia"/>
        <w:lang w:eastAsia="zh-CN"/>
      </w:rPr>
      <w:t>高博环境科技有限公司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sz w:val="18"/>
      </w:rPr>
      <mc:AlternateContent>
        <mc:Choice Requires="wps">
          <w:drawing>
            <wp:anchor distT="0" distB="0" distL="114300" distR="114300" simplePos="0" relativeHeight="25253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val="en-US" w:eastAsia="zh-CN"/>
                            </w:rPr>
                            <w:t>1</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3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do+nD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kzPAB6BGmhRvdfPt9//X7/7ROCMyBoq8wY7BYKLO3uSu6g&#10;0P25gUOX967SrftDRgj0gHV3oJftLKLuUjpI0whUFHT9BvDD43WljX3BZIuckGEN9fO0ks3c2M60&#10;N3HehCwazn0NuUDbDA9PzyJ/4aABcC6cLUQBGHupq82HUTS6Tq/TJEgGw+sgifI8mBazJBgW8flZ&#10;fprPZnn80eHFybhuypIJ56/vkzj5szrsO7ar8KFTjORN6eBcSEavljOu0YZAnxb+cwxD8A/Mwsdh&#10;eDVk9SSleJBEV4NRUAzT8yApkrNgdB6lQRSPrkbDKBklefE4pXkj2L+n9Ij9B0GTsSvYIbclJ/Td&#10;b1Nz4RxTAwb6woWuD7t+c5LdLXdAkROXsryD3tSye95G0aIBp3Ni7C3R8J6h52BG2RtYKi6hT+Re&#10;wqiW+v2vzp09lBe0GG1hPmRYwADDiL8U8PwA0PaC7oVlL4h1O5NQyBhmn6JehAva8l6stGzfwuCa&#10;Oh+gIoKCpwzbXpzZbkbB4KNsOvVGa6WbVd1dgOGhiJ2LhaLOjW8hNV1beA/+mRxZASrdBsaHJ3U/&#10;6tx8erj3VseB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Gpdo+n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val="en-US" w:eastAsia="zh-CN"/>
                      </w:rPr>
                      <w:t>1</w:t>
                    </w:r>
                    <w:r>
                      <w:rPr>
                        <w:rFonts w:hint="eastAsia"/>
                        <w:lang w:eastAsia="zh-CN"/>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sz w:val="18"/>
      </w:rPr>
      <mc:AlternateContent>
        <mc:Choice Requires="wps">
          <w:drawing>
            <wp:anchor distT="0" distB="0" distL="114300" distR="114300" simplePos="0" relativeHeight="25253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val="en-US" w:eastAsia="zh-CN"/>
                            </w:rPr>
                            <w:t>2</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3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inUP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CDGSJAWanT/5fP91+/33z4hOAOCtsqMwW6hwNLuruQO&#10;Ct2fGzh0uHeVbt0fECHQA9V3B3rZziLqLqWDNI1ARUHXb8B/eLyutLEvmGyREzKsoX6eVrKZG9uZ&#10;9iYumpBFw7mvIRdom+Hh6VnkLxw04JwLZwtZgI+91NXmwygaXafXaRIkg+F1kER5HkyLWRIMi/j8&#10;LD/NZ7M8/uj8xcm4bsqSCRev75M4+bM67Du2q/ChU4zkTencuZSMXi1nXKMNgT4t/OcYhuQfmIWP&#10;0/BqQPUEUjxIoqvBKCiG6XmQFMlZMDqP0iCKR1ejYZSMkrx4DGneCPbvkB6x/yBpMnYFO2BbckLf&#10;/RaaS+cIDRjoCxe6Puz6zUl2t9wBRU5cyvIOelPL7nkbRYsGgs6JsbdEw3uGnoMZZW9gqbiEPpF7&#10;CaNa6ve/Onf2UF7QYrSF+ZBhAQMMI/5SwPNzo6QXdC8se0Gs25mEQsKLgly8CBe05b1Yadm+hcE1&#10;dTFARQSFSBm2vTiz3YyCwUfZdOqN1ko3q7q7AMNDETsXC0VdGN9Carq28B78MzmyAlS6DYwPT+p+&#10;1Ln59HDvrY4D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DxinUP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val="en-US" w:eastAsia="zh-CN"/>
                      </w:rPr>
                      <w:t>2</w:t>
                    </w:r>
                    <w:r>
                      <w:rPr>
                        <w:rFonts w:hint="eastAsia"/>
                        <w:lang w:eastAsia="zh-CN"/>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sz w:val="18"/>
      </w:rPr>
      <mc:AlternateContent>
        <mc:Choice Requires="wps">
          <w:drawing>
            <wp:anchor distT="0" distB="0" distL="114300" distR="114300" simplePos="0" relativeHeight="25253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val="en-US" w:eastAsia="zh-CN"/>
                            </w:rPr>
                            <w:t>3</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3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lrmbCAgAA2A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kwQjQTro0f2Xz/dfv99/+4TgDADaKDMBu1sFlnZ7IbfQ&#10;6OHcwKGre1vrzv2hIgR6gPpuDy/bWkTdpSzJsghUFHTDBvyHh+tKG/uCyQ45Icca+udhJesrY3vT&#10;wcRFE7JsOfc95AJtcjw6Pon8hb0GnHPhbCEL8LGT+t58GEfjy+wyS4M0GV0GaVQUwaycp8GojE9P&#10;iuNiPi/ij85fnE6atqqYcPGGOYnTP+vDbmL7Du8nxUjeVs6dS8no5WLONVoTmNPSfw5hSP6BWfg4&#10;Da+Gqp6UFCdpdJGMg3KUnQZpmZ4E49MoC6J4fDEeRek4L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hyWuZsICAADYBQAADgAAAAAA&#10;AAABACAAAAAfAQAAZHJzL2Uyb0RvYy54bWxQSwUGAAAAAAYABgBZAQAAUwY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val="en-US" w:eastAsia="zh-CN"/>
                      </w:rPr>
                      <w:t>3</w:t>
                    </w:r>
                    <w:r>
                      <w:rPr>
                        <w:rFonts w:hint="eastAsia"/>
                        <w:lang w:eastAsia="zh-CN"/>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sz w:val="18"/>
      </w:rPr>
      <mc:AlternateContent>
        <mc:Choice Requires="wps">
          <w:drawing>
            <wp:anchor distT="0" distB="0" distL="114300" distR="114300" simplePos="0" relativeHeight="25253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第</w:t>
                          </w:r>
                          <w:r>
                            <w:rPr>
                              <w:rFonts w:hint="eastAsia"/>
                              <w:lang w:val="en-US" w:eastAsia="zh-CN"/>
                            </w:rPr>
                            <w:t>4</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3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akMz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OAUI0Fa6NH9l8/3X7/ff/uE4AwA2iozBruFAku7u5I7&#10;aHR/buDQ1b2rdOv+UBECPUB9d4CX7Syi7lI6SNMIVBR0/Qb8h8frShv7gskWOSHDGvrnYSWbubGd&#10;aW/ioglZNJz7HnKBthkenp5F/sJBA865cLaQBfjYS11vPoyi0XV6nSZBMhheB0mU58G0mCXBsIjP&#10;z/LTfDbL44/OX5yM66YsmXDx+jmJkz/rw35iuw4fJsVI3pTOnUvJ6NVyxjXaEJjTwn8OYUj+gVn4&#10;OA2vhqqelBQPkuhqMAqKYXoeJEVyFozOozSI4tHVaBgloyQvHpc0bwT795Ieof8gaTJ2DTvUtuSE&#10;vvttaS6dY2mAQN+40M1hN29OsrvlDiBy4lKWdzCbWnbP2yhaNBB0Toy9JRreM8wccJS9gaXiEuZE&#10;7iWMaqnf/+rc2UN7QYvRFvghwwIIDCP+UsDzc1TSC7oXlr0g1u1MQiNj4D5FvQgXtOW9WGnZvgXi&#10;mroYoCKCQqQM216c2Y6jgPgom0690VrpZlV3F4A8FLFzsVDUhfEjpKZrC+/BP5MjKgCl2wB9eFD3&#10;VOf46eHeWx0J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NEakMz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第</w:t>
                    </w:r>
                    <w:r>
                      <w:rPr>
                        <w:rFonts w:hint="eastAsia"/>
                        <w:lang w:val="en-US" w:eastAsia="zh-CN"/>
                      </w:rPr>
                      <w:t>4</w:t>
                    </w:r>
                    <w:r>
                      <w:rPr>
                        <w:rFonts w:hint="eastAsia"/>
                        <w:lang w:eastAsia="zh-CN"/>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253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val="en-US" w:eastAsia="zh-CN"/>
                            </w:rPr>
                            <w:t>1</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3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x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LU//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val="en-US" w:eastAsia="zh-CN"/>
                      </w:rPr>
                      <w:t>1</w:t>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1"/>
      </w:rPr>
    </w:pPr>
    <w:r>
      <w:fldChar w:fldCharType="begin"/>
    </w:r>
    <w:r>
      <w:rPr>
        <w:rStyle w:val="11"/>
      </w:rPr>
      <w:instrText xml:space="preserve">PAGE  </w:instrText>
    </w:r>
    <w:r>
      <w:fldChar w:fldCharType="separate"/>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HM38XAgAAFwQAAA4AAABkcnMvZTJvRG9jLnhtbK1TzY7TMBC+I/EO&#10;lu80aWFXVdV0VXZVhFSxKxXE2XWcJpL/ZLtNygPAG3Diwp3n6nPw2Wm6aJcT4mKPZ8bz880385tO&#10;SXIQzjdGF3Q8yikRmpuy0buCfvq4ejWlxAemSyaNFgU9Ck9vFi9fzFs7ExNTG1kKRxBE+1lrC1qH&#10;YGdZ5nktFPMjY4WGsTJOsYCn22WlYy2iK5lN8vw6a40rrTNceA/tXW+kixS/qgQP91XlRSCyoKgt&#10;pNOlcxvPbDFns51jtm74uQz2D1Uo1mgkvYS6Y4GRvWuehVINd8abKoy4UZmpqoaL1AO6GedPutnU&#10;zIrUC8Dx9gKT/39h+YfDgyNNWdCrN5RopjCj0/dvpx+/Tj+/EugAUGv9DH4bC8/QvTUdBj3oPZSx&#10;765yKt7oiMAOqI8XeEUXCI+fppPpNIeJwzY8ED97/G6dD++EUSQKBXWYX4KVHdY+9K6DS8ymzaqR&#10;Ms1QatIW9Pr1V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xQczfxcCAAAXBAAADgAAAAAA&#10;AAABACAAAAAfAQAAZHJzL2Uyb0RvYy54bWxQSwUGAAAAAAYABgBZAQAAqAU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shape>
          </w:pict>
        </mc:Fallback>
      </mc:AlternateContent>
    </w:r>
    <w:r>
      <w:rPr>
        <w:rFonts w:hint="eastAsia"/>
      </w:rPr>
      <w:t>南京高博环境科技有限公司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252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252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ECMQWAgAAFg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id5NKdFMoUfnb1/P33+ef3wh08hPa/0cYVuLwNC9MR1ih3uPy1h2&#10;VzkVdxRE4AfTpyu7oguEx0ezyWyWw8XhGw7Az56fW+fDW2EUiUZBHdqXWGXHjQ996BASf9Nm3UiZ&#10;Wig1aQt6M32dpwdXD8CljrEiieECE0vqU49W6Hbdpc6dKU8o05leKN7ydYNUNsyHR+agDKQPtYcH&#10;LJU0+NJcLEpq4z7/7T7Go2HwUtJCaQXVGAVK5DuNRkZRDoYbjN1g6IO6M5DuGFNkeTLxwAU5mJUz&#10;6hNGYBX/gItpjp8KGgbzLvRqxwhxsVqlIEjPsrDRW8sjdKTH29UhgM7EciSlZwLdiQeIL/XpMihR&#10;3b+eU9TzO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qBAjEFgIAABYEAAAOAAAAAAAA&#10;AAEAIAAAAB8BAABkcnMvZTJvRG9jLnhtbFBLBQYAAAAABgAGAFkBAACnBQ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w:t>
                    </w:r>
                  </w:p>
                </w:txbxContent>
              </v:textbox>
            </v:shape>
          </w:pict>
        </mc:Fallback>
      </mc:AlternateContent>
    </w:r>
    <w:r>
      <w:rPr>
        <w:rFonts w:hint="eastAsia"/>
      </w:rPr>
      <w:t>南京高博环境科技有限公司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cWUWAgAAFwQAAA4AAABkcnMvZTJvRG9jLnhtbK1TzY7TMBC+I/EO&#10;lu80aVFXVdV0VXZVhFSxKxXE2XWcJpL/ZLtNygPAG3Diwp3n6nPsZ6fpIuCEuNjjmfH8fPPN4rZT&#10;khyF843RBR2PckqE5qZs9L6gHz+sX80o8YHpkkmjRUFPwtPb5csXi9bOxcTURpbCEQTRft7agtYh&#10;2HmWeV4LxfzIWKFhrIxTLODp9lnpWIvoSmaTPL/JWuNK6wwX3kN73xvpMsWvKsHDQ1V5EYgsKGoL&#10;6XTp3MUzWy7YfO+YrRt+KYP9QxWKNRpJr6HuWWDk4Jo/QqmGO+NNFUbcqMxUVcNF6gHdjPPfutnW&#10;zIrUC8Dx9gqT/39h+fvjoyNNWdDplBLNFGZ0/vb1/P3n+ccXAh0Aaq2fw29r4Rm6N6bDoAe9hzL2&#10;3VVOxRsdEdgB9ekKr+gC4fHTbDKb5TBx2IYH4mfP363z4a0wikShoA7zS7Cy48aH3nVwidm0WTdS&#10;phlKTdqC3rye5unD1YLgUkdfkdhwCRNb6kuPUuh23aXPnSlPaNOZnine8nWDUjbMh0fmQA2UD7qH&#10;BxyVNEhpLhIltXGf/6aP/pgYrJS0oFpBNXaBEvlOY5KRlYPgBmE3CPqg7gy4O8YaWZ5EfHBBDmLl&#10;jPqEHVjFHDAxzZGpoGEQ70JPd+wQF6tVcgL3LAsbvbU8ho7weLs6BMCZUI6g9EhgOvEB9qU5XTYl&#10;0vvXd/J63u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P7nFlFgIAABcEAAAOAAAAAAAA&#10;AAEAIAAAAB8BAABkcnMvZTJvRG9jLnhtbFBLBQYAAAAABgAGAFkBAACnBQ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w:t>
                    </w:r>
                  </w:p>
                </w:txbxContent>
              </v:textbox>
            </v:shape>
          </w:pict>
        </mc:Fallback>
      </mc:AlternateContent>
    </w:r>
    <w:r>
      <w:rPr>
        <w:rFonts w:hint="eastAsia"/>
      </w:rPr>
      <w:t>南京高博环境科技有限公司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center"/>
      <w:rPr>
        <w:rFonts w:ascii="宋体" w:hAnsi="宋体"/>
        <w:bCs/>
        <w:szCs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center"/>
      <w:rPr>
        <w:rFonts w:ascii="宋体" w:hAnsi="宋体"/>
        <w:bCs/>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sz w:val="18"/>
        <w:szCs w:val="18"/>
      </w:rPr>
    </w:pPr>
    <w:r>
      <w:rPr>
        <w:rFonts w:hint="eastAsia" w:ascii="宋体" w:hAnsi="宋体" w:cs="宋体"/>
        <w:color w:val="000000" w:themeColor="text1"/>
        <w:sz w:val="18"/>
        <w:szCs w:val="18"/>
      </w:rPr>
      <w:t>江苏银环新材料科技有限公司自承式轻质钢筋桁架楼承板（第五代）生产线项目</w:t>
    </w:r>
    <w:r>
      <w:rPr>
        <w:rFonts w:hint="eastAsia"/>
        <w:sz w:val="18"/>
        <w:szCs w:val="18"/>
      </w:rPr>
      <w:t>竣工环境保护验收监测报告表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C33D13"/>
    <w:multiLevelType w:val="singleLevel"/>
    <w:tmpl w:val="80C33D13"/>
    <w:lvl w:ilvl="0" w:tentative="0">
      <w:start w:val="3"/>
      <w:numFmt w:val="decimal"/>
      <w:suff w:val="nothing"/>
      <w:lvlText w:val="%1、"/>
      <w:lvlJc w:val="left"/>
    </w:lvl>
  </w:abstractNum>
  <w:abstractNum w:abstractNumId="1">
    <w:nsid w:val="8115DEE8"/>
    <w:multiLevelType w:val="singleLevel"/>
    <w:tmpl w:val="8115DEE8"/>
    <w:lvl w:ilvl="0" w:tentative="0">
      <w:start w:val="2"/>
      <w:numFmt w:val="decimal"/>
      <w:lvlText w:val="%1."/>
      <w:lvlJc w:val="left"/>
      <w:pPr>
        <w:tabs>
          <w:tab w:val="left" w:pos="312"/>
        </w:tabs>
      </w:pPr>
    </w:lvl>
  </w:abstractNum>
  <w:abstractNum w:abstractNumId="2">
    <w:nsid w:val="840D1555"/>
    <w:multiLevelType w:val="singleLevel"/>
    <w:tmpl w:val="840D1555"/>
    <w:lvl w:ilvl="0" w:tentative="0">
      <w:start w:val="2"/>
      <w:numFmt w:val="chineseCounting"/>
      <w:suff w:val="nothing"/>
      <w:lvlText w:val="%1、"/>
      <w:lvlJc w:val="left"/>
      <w:rPr>
        <w:rFonts w:hint="eastAsia"/>
      </w:rPr>
    </w:lvl>
  </w:abstractNum>
  <w:abstractNum w:abstractNumId="3">
    <w:nsid w:val="D78CB83D"/>
    <w:multiLevelType w:val="singleLevel"/>
    <w:tmpl w:val="D78CB83D"/>
    <w:lvl w:ilvl="0" w:tentative="0">
      <w:start w:val="1"/>
      <w:numFmt w:val="chineseCounting"/>
      <w:suff w:val="nothing"/>
      <w:lvlText w:val="%1、"/>
      <w:lvlJc w:val="left"/>
      <w:rPr>
        <w:rFonts w:hint="eastAsia"/>
      </w:rPr>
    </w:lvl>
  </w:abstractNum>
  <w:abstractNum w:abstractNumId="4">
    <w:nsid w:val="D870EDF8"/>
    <w:multiLevelType w:val="singleLevel"/>
    <w:tmpl w:val="D870EDF8"/>
    <w:lvl w:ilvl="0" w:tentative="0">
      <w:start w:val="1"/>
      <w:numFmt w:val="decimal"/>
      <w:suff w:val="nothing"/>
      <w:lvlText w:val="（%1）"/>
      <w:lvlJc w:val="left"/>
    </w:lvl>
  </w:abstractNum>
  <w:abstractNum w:abstractNumId="5">
    <w:nsid w:val="F593D3EE"/>
    <w:multiLevelType w:val="singleLevel"/>
    <w:tmpl w:val="F593D3EE"/>
    <w:lvl w:ilvl="0" w:tentative="0">
      <w:start w:val="1"/>
      <w:numFmt w:val="decimal"/>
      <w:suff w:val="nothing"/>
      <w:lvlText w:val="%1、"/>
      <w:lvlJc w:val="left"/>
    </w:lvl>
  </w:abstractNum>
  <w:abstractNum w:abstractNumId="6">
    <w:nsid w:val="FA1EEE76"/>
    <w:multiLevelType w:val="singleLevel"/>
    <w:tmpl w:val="FA1EEE76"/>
    <w:lvl w:ilvl="0" w:tentative="0">
      <w:start w:val="1"/>
      <w:numFmt w:val="chineseCounting"/>
      <w:suff w:val="nothing"/>
      <w:lvlText w:val="%1、"/>
      <w:lvlJc w:val="left"/>
      <w:rPr>
        <w:rFonts w:hint="eastAsia"/>
      </w:rPr>
    </w:lvl>
  </w:abstractNum>
  <w:abstractNum w:abstractNumId="7">
    <w:nsid w:val="FA50BC48"/>
    <w:multiLevelType w:val="singleLevel"/>
    <w:tmpl w:val="FA50BC48"/>
    <w:lvl w:ilvl="0" w:tentative="0">
      <w:start w:val="2"/>
      <w:numFmt w:val="decimal"/>
      <w:suff w:val="nothing"/>
      <w:lvlText w:val="%1、"/>
      <w:lvlJc w:val="left"/>
    </w:lvl>
  </w:abstractNum>
  <w:abstractNum w:abstractNumId="8">
    <w:nsid w:val="2B297E77"/>
    <w:multiLevelType w:val="singleLevel"/>
    <w:tmpl w:val="2B297E77"/>
    <w:lvl w:ilvl="0" w:tentative="0">
      <w:start w:val="3"/>
      <w:numFmt w:val="chineseCounting"/>
      <w:suff w:val="nothing"/>
      <w:lvlText w:val="%1、"/>
      <w:lvlJc w:val="left"/>
      <w:rPr>
        <w:rFonts w:hint="eastAsia"/>
      </w:rPr>
    </w:lvl>
  </w:abstractNum>
  <w:abstractNum w:abstractNumId="9">
    <w:nsid w:val="57A82C56"/>
    <w:multiLevelType w:val="singleLevel"/>
    <w:tmpl w:val="57A82C56"/>
    <w:lvl w:ilvl="0" w:tentative="0">
      <w:start w:val="1"/>
      <w:numFmt w:val="chineseCounting"/>
      <w:suff w:val="nothing"/>
      <w:lvlText w:val="%1、"/>
      <w:lvlJc w:val="left"/>
    </w:lvl>
  </w:abstractNum>
  <w:abstractNum w:abstractNumId="10">
    <w:nsid w:val="7C17FE09"/>
    <w:multiLevelType w:val="singleLevel"/>
    <w:tmpl w:val="7C17FE09"/>
    <w:lvl w:ilvl="0" w:tentative="0">
      <w:start w:val="1"/>
      <w:numFmt w:val="decimal"/>
      <w:suff w:val="nothing"/>
      <w:lvlText w:val="%1、"/>
      <w:lvlJc w:val="left"/>
    </w:lvl>
  </w:abstractNum>
  <w:num w:numId="1">
    <w:abstractNumId w:val="4"/>
  </w:num>
  <w:num w:numId="2">
    <w:abstractNumId w:val="2"/>
  </w:num>
  <w:num w:numId="3">
    <w:abstractNumId w:val="0"/>
  </w:num>
  <w:num w:numId="4">
    <w:abstractNumId w:val="9"/>
  </w:num>
  <w:num w:numId="5">
    <w:abstractNumId w:val="10"/>
  </w:num>
  <w:num w:numId="6">
    <w:abstractNumId w:val="3"/>
  </w:num>
  <w:num w:numId="7">
    <w:abstractNumId w:val="5"/>
  </w:num>
  <w:num w:numId="8">
    <w:abstractNumId w:val="6"/>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ocumentProtection w:enforcement="0"/>
  <w:defaultTabStop w:val="420"/>
  <w:drawingGridVerticalSpacing w:val="158"/>
  <w:displayVertic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5B741A"/>
    <w:rsid w:val="004D4DBF"/>
    <w:rsid w:val="00AC27CE"/>
    <w:rsid w:val="00E34F86"/>
    <w:rsid w:val="055B741A"/>
    <w:rsid w:val="0A425E52"/>
    <w:rsid w:val="0B997CC3"/>
    <w:rsid w:val="0F455F34"/>
    <w:rsid w:val="0FD4490D"/>
    <w:rsid w:val="168B1D33"/>
    <w:rsid w:val="176506BF"/>
    <w:rsid w:val="188C2427"/>
    <w:rsid w:val="18E8374B"/>
    <w:rsid w:val="1C2B3A8E"/>
    <w:rsid w:val="1EAD4F36"/>
    <w:rsid w:val="1FD04E81"/>
    <w:rsid w:val="23D5718B"/>
    <w:rsid w:val="23ED6F24"/>
    <w:rsid w:val="245A12D4"/>
    <w:rsid w:val="26573C77"/>
    <w:rsid w:val="29914A12"/>
    <w:rsid w:val="2A201395"/>
    <w:rsid w:val="2A244203"/>
    <w:rsid w:val="2A480B8D"/>
    <w:rsid w:val="2D9D031E"/>
    <w:rsid w:val="2EF92F88"/>
    <w:rsid w:val="333007AF"/>
    <w:rsid w:val="377732F2"/>
    <w:rsid w:val="390F34E3"/>
    <w:rsid w:val="3BD31E27"/>
    <w:rsid w:val="3CB47312"/>
    <w:rsid w:val="3DB568D4"/>
    <w:rsid w:val="42783787"/>
    <w:rsid w:val="45692CD6"/>
    <w:rsid w:val="46805AB7"/>
    <w:rsid w:val="48820CA3"/>
    <w:rsid w:val="4A8361A3"/>
    <w:rsid w:val="4C117A32"/>
    <w:rsid w:val="4EE95770"/>
    <w:rsid w:val="51227329"/>
    <w:rsid w:val="52014D5C"/>
    <w:rsid w:val="542E3D55"/>
    <w:rsid w:val="548236CD"/>
    <w:rsid w:val="59076A77"/>
    <w:rsid w:val="5A786492"/>
    <w:rsid w:val="5C7B2942"/>
    <w:rsid w:val="5CF059BC"/>
    <w:rsid w:val="5DE91FAD"/>
    <w:rsid w:val="5E3C20CA"/>
    <w:rsid w:val="60B86880"/>
    <w:rsid w:val="63091AD1"/>
    <w:rsid w:val="635B6BB9"/>
    <w:rsid w:val="63602120"/>
    <w:rsid w:val="63CB5425"/>
    <w:rsid w:val="661203D4"/>
    <w:rsid w:val="67B13948"/>
    <w:rsid w:val="68AA2ED3"/>
    <w:rsid w:val="68C05289"/>
    <w:rsid w:val="6B801271"/>
    <w:rsid w:val="6D535020"/>
    <w:rsid w:val="6DF53510"/>
    <w:rsid w:val="6E1B18EA"/>
    <w:rsid w:val="6E47114A"/>
    <w:rsid w:val="70501442"/>
    <w:rsid w:val="74704E30"/>
    <w:rsid w:val="78554486"/>
    <w:rsid w:val="7C580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jc w:val="center"/>
    </w:pPr>
  </w:style>
  <w:style w:type="paragraph" w:styleId="4">
    <w:name w:val="Plain Text"/>
    <w:basedOn w:val="1"/>
    <w:qFormat/>
    <w:uiPriority w:val="0"/>
    <w:rPr>
      <w:rFonts w:ascii="宋体" w:hAnsi="Courier New"/>
    </w:rPr>
  </w:style>
  <w:style w:type="paragraph" w:styleId="5">
    <w:name w:val="Date"/>
    <w:basedOn w:val="1"/>
    <w:next w:val="1"/>
    <w:qFormat/>
    <w:uiPriority w:val="0"/>
    <w:rPr>
      <w:sz w:val="28"/>
      <w:szCs w:val="20"/>
    </w:rPr>
  </w:style>
  <w:style w:type="paragraph" w:styleId="6">
    <w:name w:val="Balloon Text"/>
    <w:basedOn w:val="1"/>
    <w:link w:val="15"/>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qFormat/>
    <w:uiPriority w:val="0"/>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Default"/>
    <w:qFormat/>
    <w:uiPriority w:val="0"/>
    <w:pPr>
      <w:widowControl w:val="0"/>
      <w:autoSpaceDE w:val="0"/>
      <w:autoSpaceDN w:val="0"/>
      <w:adjustRightInd w:val="0"/>
    </w:pPr>
    <w:rPr>
      <w:rFonts w:ascii="Arial Black" w:hAnsi="Arial Black" w:eastAsiaTheme="minorEastAsia" w:cstheme="minorBidi"/>
      <w:color w:val="000000"/>
      <w:sz w:val="24"/>
      <w:szCs w:val="24"/>
      <w:lang w:val="en-US" w:eastAsia="zh-CN" w:bidi="ar-SA"/>
    </w:rPr>
  </w:style>
  <w:style w:type="character" w:customStyle="1" w:styleId="15">
    <w:name w:val="批注框文本 Char"/>
    <w:basedOn w:val="10"/>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jpeg"/><Relationship Id="rId45" Type="http://schemas.openxmlformats.org/officeDocument/2006/relationships/image" Target="media/image13.png"/><Relationship Id="rId44" Type="http://schemas.openxmlformats.org/officeDocument/2006/relationships/image" Target="media/image12.jpeg"/><Relationship Id="rId43" Type="http://schemas.openxmlformats.org/officeDocument/2006/relationships/image" Target="media/image11.jpeg"/><Relationship Id="rId42" Type="http://schemas.openxmlformats.org/officeDocument/2006/relationships/image" Target="media/image10.jpeg"/><Relationship Id="rId41" Type="http://schemas.openxmlformats.org/officeDocument/2006/relationships/image" Target="media/image9.jpe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jpeg"/><Relationship Id="rId34" Type="http://schemas.openxmlformats.org/officeDocument/2006/relationships/image" Target="media/image2.jpe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19.xml"/><Relationship Id="rId30" Type="http://schemas.openxmlformats.org/officeDocument/2006/relationships/header" Target="header10.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header" Target="header9.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36</Pages>
  <Words>2641</Words>
  <Characters>15054</Characters>
  <Lines>125</Lines>
  <Paragraphs>35</Paragraphs>
  <TotalTime>1</TotalTime>
  <ScaleCrop>false</ScaleCrop>
  <LinksUpToDate>false</LinksUpToDate>
  <CharactersWithSpaces>17660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2018-10-23T06:08:00Z</dcterms:created>
  <dc:creator>사랑*이종석♚</dc:creator>
  <cp:lastModifiedBy>wj4789</cp:lastModifiedBy>
  <cp:lastPrinted>2019-01-07T01:58:00Z</cp:lastPrinted>
  <dcterms:modified xsi:type="dcterms:W3CDTF">2019-01-10T03:04:53Z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