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rPr>
          <w:rFonts w:ascii="Times New Roman" w:hAnsi="Times New Roman" w:cs="Times New Roman"/>
          <w:sz w:val="28"/>
          <w:szCs w:val="28"/>
        </w:rPr>
      </w:pPr>
      <w:r>
        <w:rPr>
          <w:rFonts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column">
                  <wp:posOffset>3879850</wp:posOffset>
                </wp:positionH>
                <wp:positionV relativeFrom="paragraph">
                  <wp:posOffset>296545</wp:posOffset>
                </wp:positionV>
                <wp:extent cx="1323975" cy="0"/>
                <wp:effectExtent l="0" t="0" r="0" b="0"/>
                <wp:wrapNone/>
                <wp:docPr id="39" name="直接连接符 1"/>
                <wp:cNvGraphicFramePr/>
                <a:graphic xmlns:a="http://schemas.openxmlformats.org/drawingml/2006/main">
                  <a:graphicData uri="http://schemas.microsoft.com/office/word/2010/wordprocessingShape">
                    <wps:wsp>
                      <wps:cNvCnPr/>
                      <wps:spPr>
                        <a:xfrm>
                          <a:off x="4916170" y="1210945"/>
                          <a:ext cx="13239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直接连接符 1" o:spid="_x0000_s1026" o:spt="20" style="position:absolute;left:0pt;margin-left:305.5pt;margin-top:23.35pt;height:0pt;width:104.25pt;z-index:251666432;mso-width-relative:page;mso-height-relative:page;" filled="f" stroked="t" coordsize="21600,21600" o:gfxdata="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gCJcN1wAAAAkBAAAPAAAAAAAAAAEAIAAAACIAAABkcnMvZG93bnJldi54bWxQ&#10;SwECFAAUAAAACACHTuJAkFUftfgBAACzAwAADgAAAAAAAAABACAAAAAmAQAAZHJzL2Uyb0RvYy54&#10;bWxQSwUGAAAAAAYABgBZAQAAkAUAAAAA&#10;">
                <v:fill on="f" focussize="0,0"/>
                <v:stroke color="#000000" joinstyle="round"/>
                <v:imagedata o:title=""/>
                <o:lock v:ext="edit" aspectratio="f"/>
              </v:line>
            </w:pict>
          </mc:Fallback>
        </mc:AlternateContent>
      </w:r>
      <w:r>
        <w:rPr>
          <w:rFonts w:ascii="Times New Roman" w:hAnsi="Times New Roman" w:cs="Times New Roman"/>
          <w:sz w:val="28"/>
          <w:szCs w:val="28"/>
        </w:rPr>
        <w:t>所在行政区</w:t>
      </w:r>
      <w:r>
        <w:rPr>
          <w:rFonts w:ascii="Times New Roman" w:hAnsi="Times New Roman" w:cs="Times New Roman"/>
          <w:b/>
          <w:sz w:val="28"/>
          <w:szCs w:val="28"/>
          <w:u w:val="single"/>
        </w:rPr>
        <w:t>南京市六合区</w:t>
      </w:r>
      <w:r>
        <w:rPr>
          <w:rFonts w:ascii="Times New Roman" w:hAnsi="Times New Roman" w:cs="Times New Roman"/>
          <w:sz w:val="28"/>
          <w:szCs w:val="28"/>
        </w:rPr>
        <w:t xml:space="preserve">             环评编号： </w:t>
      </w:r>
      <w:r>
        <w:rPr>
          <w:rFonts w:ascii="Times New Roman" w:hAnsi="Times New Roman" w:cs="Times New Roman"/>
          <w:sz w:val="32"/>
          <w:szCs w:val="32"/>
        </w:rPr>
        <w:t xml:space="preserve">  </w:t>
      </w:r>
    </w:p>
    <w:p>
      <w:pPr>
        <w:ind w:firstLine="560"/>
        <w:rPr>
          <w:rFonts w:ascii="Times New Roman" w:hAnsi="Times New Roman" w:cs="Times New Roman"/>
          <w:sz w:val="28"/>
          <w:szCs w:val="28"/>
        </w:rPr>
      </w:pPr>
      <w:r>
        <w:rPr>
          <w:rFonts w:ascii="Times New Roman" w:hAnsi="Times New Roman" w:cs="Times New Roman"/>
          <w:sz w:val="28"/>
          <w:szCs w:val="28"/>
        </w:rPr>
        <w:t xml:space="preserve">                                 审批编号□□□□□□□□□□□□□□□</w:t>
      </w:r>
    </w:p>
    <w:p>
      <w:pPr>
        <w:ind w:firstLine="1044"/>
        <w:jc w:val="center"/>
        <w:rPr>
          <w:rFonts w:ascii="Times New Roman" w:hAnsi="Times New Roman" w:cs="Times New Roman"/>
          <w:b/>
          <w:sz w:val="52"/>
          <w:szCs w:val="52"/>
        </w:rPr>
      </w:pPr>
    </w:p>
    <w:p>
      <w:pPr>
        <w:ind w:firstLine="1044"/>
        <w:jc w:val="center"/>
        <w:rPr>
          <w:rFonts w:ascii="Times New Roman" w:hAnsi="Times New Roman" w:cs="Times New Roman"/>
          <w:b/>
          <w:sz w:val="52"/>
          <w:szCs w:val="52"/>
        </w:rPr>
      </w:pPr>
    </w:p>
    <w:p>
      <w:pPr>
        <w:spacing w:line="240" w:lineRule="auto"/>
        <w:ind w:firstLine="0" w:firstLineChars="0"/>
        <w:jc w:val="center"/>
        <w:rPr>
          <w:rFonts w:ascii="Times New Roman" w:hAnsi="Times New Roman" w:cs="Times New Roman"/>
          <w:b/>
          <w:bCs/>
          <w:sz w:val="72"/>
        </w:rPr>
      </w:pPr>
      <w:r>
        <w:rPr>
          <w:rFonts w:ascii="Times New Roman" w:hAnsi="Times New Roman" w:cs="Times New Roman"/>
          <w:b/>
          <w:bCs/>
          <w:sz w:val="72"/>
        </w:rPr>
        <w:t>建设项目环境影响报告表</w:t>
      </w:r>
    </w:p>
    <w:p>
      <w:pPr>
        <w:spacing w:line="240" w:lineRule="auto"/>
        <w:ind w:left="1545" w:leftChars="242" w:hanging="964" w:hangingChars="300"/>
        <w:jc w:val="center"/>
        <w:rPr>
          <w:rFonts w:ascii="Times New Roman" w:hAnsi="Times New Roman" w:cs="Times New Roman"/>
          <w:b/>
          <w:sz w:val="32"/>
        </w:rPr>
      </w:pPr>
      <w:r>
        <w:rPr>
          <w:rFonts w:ascii="Times New Roman" w:hAnsi="Times New Roman" w:cs="Times New Roman"/>
          <w:b/>
          <w:sz w:val="32"/>
        </w:rPr>
        <w:t>（附环境风险评价专项）</w:t>
      </w:r>
    </w:p>
    <w:p>
      <w:pPr>
        <w:ind w:firstLine="640"/>
        <w:jc w:val="center"/>
        <w:rPr>
          <w:rFonts w:ascii="Times New Roman" w:hAnsi="Times New Roman" w:cs="Times New Roman"/>
          <w:sz w:val="32"/>
        </w:rPr>
      </w:pPr>
    </w:p>
    <w:p>
      <w:pPr>
        <w:ind w:firstLine="560"/>
        <w:jc w:val="center"/>
        <w:rPr>
          <w:rFonts w:ascii="Times New Roman" w:hAnsi="Times New Roman" w:cs="Times New Roman"/>
          <w:sz w:val="28"/>
        </w:rPr>
      </w:pPr>
    </w:p>
    <w:p>
      <w:pPr>
        <w:ind w:firstLine="560"/>
        <w:jc w:val="center"/>
        <w:rPr>
          <w:rFonts w:ascii="Times New Roman" w:hAnsi="Times New Roman" w:cs="Times New Roman"/>
          <w:sz w:val="28"/>
        </w:rPr>
      </w:pPr>
    </w:p>
    <w:p>
      <w:pPr>
        <w:ind w:firstLine="560"/>
        <w:jc w:val="center"/>
        <w:rPr>
          <w:rFonts w:ascii="Times New Roman" w:hAnsi="Times New Roman" w:cs="Times New Roman"/>
          <w:sz w:val="28"/>
        </w:rPr>
      </w:pPr>
    </w:p>
    <w:p>
      <w:pPr>
        <w:ind w:firstLine="560"/>
        <w:jc w:val="center"/>
        <w:rPr>
          <w:rFonts w:ascii="Times New Roman" w:hAnsi="Times New Roman" w:cs="Times New Roman"/>
          <w:sz w:val="28"/>
        </w:rPr>
      </w:pPr>
    </w:p>
    <w:p>
      <w:pPr>
        <w:ind w:firstLine="560"/>
        <w:jc w:val="center"/>
        <w:rPr>
          <w:rFonts w:ascii="Times New Roman" w:hAnsi="Times New Roman" w:cs="Times New Roman"/>
          <w:sz w:val="28"/>
        </w:rPr>
      </w:pPr>
    </w:p>
    <w:p>
      <w:pPr>
        <w:ind w:firstLine="560"/>
        <w:jc w:val="center"/>
        <w:rPr>
          <w:rFonts w:ascii="Times New Roman" w:hAnsi="Times New Roman" w:cs="Times New Roman"/>
          <w:sz w:val="28"/>
        </w:rPr>
      </w:pPr>
    </w:p>
    <w:p>
      <w:pPr>
        <w:ind w:left="2187" w:leftChars="242" w:hanging="1606" w:hangingChars="500"/>
        <w:rPr>
          <w:rFonts w:ascii="Times New Roman" w:hAnsi="Times New Roman" w:cs="Times New Roman"/>
          <w:sz w:val="32"/>
          <w:szCs w:val="32"/>
          <w:u w:val="single"/>
          <w:lang w:bidi="ar"/>
        </w:rPr>
      </w:pPr>
      <w:r>
        <w:rPr>
          <w:rFonts w:ascii="Times New Roman" w:hAnsi="Times New Roman" w:cs="Times New Roman"/>
          <w:b/>
          <w:sz w:val="32"/>
        </w:rPr>
        <w:t>项目名称：</w:t>
      </w:r>
      <w:r>
        <w:rPr>
          <w:rFonts w:ascii="Times New Roman" w:hAnsi="Times New Roman" w:cs="Times New Roman"/>
          <w:sz w:val="32"/>
          <w:szCs w:val="32"/>
          <w:u w:val="single"/>
          <w:lang w:bidi="ar"/>
        </w:rPr>
        <w:t xml:space="preserve"> 国轩南京年产5GWh动力电池系统生产线及配套</w:t>
      </w:r>
    </w:p>
    <w:p>
      <w:pPr>
        <w:ind w:firstLine="643"/>
        <w:rPr>
          <w:rFonts w:ascii="Times New Roman" w:hAnsi="Times New Roman" w:cs="Times New Roman"/>
          <w:sz w:val="32"/>
          <w:u w:val="single"/>
        </w:rPr>
      </w:pPr>
      <w:r>
        <w:rPr>
          <w:rFonts w:ascii="Times New Roman" w:hAnsi="Times New Roman" w:cs="Times New Roman"/>
          <w:b/>
          <w:sz w:val="32"/>
        </w:rPr>
        <w:t xml:space="preserve">         </w:t>
      </w:r>
      <w:r>
        <w:rPr>
          <w:rFonts w:ascii="Times New Roman" w:hAnsi="Times New Roman" w:cs="Times New Roman"/>
          <w:sz w:val="32"/>
          <w:u w:val="single"/>
        </w:rPr>
        <w:t xml:space="preserve">                 建设项目                      </w:t>
      </w:r>
    </w:p>
    <w:p>
      <w:pPr>
        <w:ind w:firstLine="640"/>
        <w:rPr>
          <w:rFonts w:ascii="Times New Roman" w:hAnsi="Times New Roman" w:cs="Times New Roman"/>
          <w:sz w:val="32"/>
          <w:u w:val="single"/>
        </w:rPr>
      </w:pPr>
    </w:p>
    <w:p>
      <w:pPr>
        <w:ind w:firstLine="643"/>
        <w:rPr>
          <w:rFonts w:ascii="Times New Roman" w:hAnsi="Times New Roman" w:cs="Times New Roman"/>
          <w:b/>
          <w:sz w:val="32"/>
          <w:u w:val="single"/>
        </w:rPr>
      </w:pPr>
      <w:r>
        <w:rPr>
          <w:rFonts w:ascii="Times New Roman" w:hAnsi="Times New Roman" w:cs="Times New Roman"/>
          <w:b/>
          <w:sz w:val="32"/>
        </w:rPr>
        <w:t>建设单位（盖章）：</w:t>
      </w:r>
      <w:r>
        <w:rPr>
          <w:rFonts w:ascii="Times New Roman" w:hAnsi="Times New Roman" w:cs="Times New Roman"/>
          <w:sz w:val="32"/>
          <w:szCs w:val="32"/>
          <w:u w:val="single"/>
          <w:lang w:bidi="ar"/>
        </w:rPr>
        <w:t xml:space="preserve">      南京国轩新能源有限公司      </w:t>
      </w:r>
      <w:r>
        <w:rPr>
          <w:rFonts w:ascii="Times New Roman" w:hAnsi="Times New Roman" w:cs="Times New Roman"/>
          <w:sz w:val="32"/>
          <w:u w:val="single"/>
        </w:rPr>
        <w:t xml:space="preserve">    </w:t>
      </w:r>
    </w:p>
    <w:p>
      <w:pPr>
        <w:ind w:firstLine="643"/>
        <w:jc w:val="center"/>
        <w:rPr>
          <w:rFonts w:ascii="Times New Roman" w:hAnsi="Times New Roman" w:cs="Times New Roman"/>
          <w:b/>
          <w:sz w:val="32"/>
        </w:rPr>
      </w:pPr>
    </w:p>
    <w:p>
      <w:pPr>
        <w:ind w:firstLine="643"/>
        <w:jc w:val="center"/>
        <w:rPr>
          <w:rFonts w:ascii="Times New Roman" w:hAnsi="Times New Roman" w:cs="Times New Roman"/>
          <w:b/>
          <w:sz w:val="32"/>
        </w:rPr>
      </w:pPr>
    </w:p>
    <w:p>
      <w:pPr>
        <w:ind w:firstLine="643"/>
        <w:jc w:val="center"/>
        <w:rPr>
          <w:rFonts w:ascii="Times New Roman" w:hAnsi="Times New Roman" w:cs="Times New Roman"/>
          <w:b/>
          <w:sz w:val="32"/>
        </w:rPr>
      </w:pPr>
    </w:p>
    <w:p>
      <w:pPr>
        <w:ind w:firstLine="643"/>
        <w:jc w:val="center"/>
        <w:rPr>
          <w:rFonts w:ascii="Times New Roman" w:hAnsi="Times New Roman" w:cs="Times New Roman"/>
          <w:b/>
          <w:sz w:val="32"/>
        </w:rPr>
      </w:pPr>
    </w:p>
    <w:p>
      <w:pPr>
        <w:ind w:firstLine="0" w:firstLineChars="0"/>
        <w:jc w:val="center"/>
        <w:rPr>
          <w:rFonts w:ascii="Times New Roman" w:hAnsi="Times New Roman" w:cs="Times New Roman"/>
          <w:b/>
          <w:sz w:val="30"/>
          <w:szCs w:val="30"/>
        </w:rPr>
      </w:pPr>
      <w:r>
        <w:rPr>
          <w:rFonts w:ascii="Times New Roman" w:hAnsi="Times New Roman" w:cs="Times New Roman"/>
          <w:b/>
          <w:sz w:val="30"/>
          <w:szCs w:val="30"/>
        </w:rPr>
        <w:t>申报日期：2018年4月16日</w:t>
      </w:r>
    </w:p>
    <w:p>
      <w:pPr>
        <w:ind w:firstLine="0" w:firstLineChars="0"/>
        <w:jc w:val="center"/>
        <w:rPr>
          <w:rFonts w:ascii="Times New Roman" w:hAnsi="Times New Roman" w:cs="Times New Roman"/>
          <w:b/>
          <w:sz w:val="32"/>
        </w:rPr>
      </w:pPr>
      <w:r>
        <w:rPr>
          <w:rFonts w:ascii="Times New Roman" w:hAnsi="Times New Roman" w:cs="Times New Roman"/>
          <w:b/>
          <w:snapToGrid w:val="0"/>
          <w:sz w:val="30"/>
          <w:szCs w:val="30"/>
        </w:rPr>
        <w:t>江苏省环境保护厅制</w:t>
      </w:r>
    </w:p>
    <w:p>
      <w:pPr>
        <w:ind w:firstLine="480"/>
        <w:rPr>
          <w:rFonts w:ascii="Times New Roman" w:hAnsi="Times New Roman" w:cs="Times New Roman"/>
          <w:szCs w:val="21"/>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1020" w:footer="1020" w:gutter="0"/>
          <w:cols w:space="720" w:num="1"/>
          <w:docGrid w:linePitch="326" w:charSpace="0"/>
        </w:sectPr>
      </w:pPr>
    </w:p>
    <w:p>
      <w:pPr>
        <w:tabs>
          <w:tab w:val="left" w:pos="2826"/>
        </w:tabs>
        <w:spacing w:line="400" w:lineRule="exact"/>
        <w:ind w:firstLine="0" w:firstLineChars="0"/>
        <w:jc w:val="center"/>
        <w:rPr>
          <w:rFonts w:ascii="Times New Roman" w:hAnsi="Times New Roman" w:cs="Times New Roman"/>
          <w:b/>
          <w:sz w:val="28"/>
        </w:rPr>
      </w:pPr>
      <w:r>
        <w:rPr>
          <w:rFonts w:ascii="Times New Roman" w:hAnsi="Times New Roman" w:cs="Times New Roman"/>
          <w:b/>
          <w:sz w:val="28"/>
        </w:rPr>
        <w:t>南京国轩新能源有限公司国轩南京年产5GWh动力电池系统生产线及配套建设项目环境影响报告表编制人员名单表</w:t>
      </w:r>
    </w:p>
    <w:tbl>
      <w:tblPr>
        <w:tblStyle w:val="11"/>
        <w:tblW w:w="912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3"/>
        <w:gridCol w:w="761"/>
        <w:gridCol w:w="798"/>
        <w:gridCol w:w="1559"/>
        <w:gridCol w:w="1559"/>
        <w:gridCol w:w="2696"/>
        <w:gridCol w:w="13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214" w:type="dxa"/>
            <w:gridSpan w:val="2"/>
            <w:vMerge w:val="restart"/>
            <w:tcMar>
              <w:top w:w="28" w:type="dxa"/>
              <w:left w:w="28" w:type="dxa"/>
              <w:bottom w:w="28" w:type="dxa"/>
              <w:right w:w="28" w:type="dxa"/>
            </w:tcMar>
            <w:vAlign w:val="center"/>
          </w:tcPr>
          <w:p>
            <w:pPr>
              <w:pStyle w:val="12"/>
              <w:rPr>
                <w:rFonts w:ascii="Times New Roman" w:hAnsi="Times New Roman" w:cs="Times New Roman"/>
              </w:rPr>
            </w:pPr>
            <w:r>
              <w:rPr>
                <w:rFonts w:ascii="Times New Roman" w:hAnsi="Times New Roman" w:cs="Times New Roman"/>
              </w:rPr>
              <w:t>编制</w:t>
            </w:r>
          </w:p>
          <w:p>
            <w:pPr>
              <w:pStyle w:val="12"/>
              <w:rPr>
                <w:rFonts w:ascii="Times New Roman" w:hAnsi="Times New Roman" w:cs="Times New Roman"/>
              </w:rPr>
            </w:pPr>
            <w:r>
              <w:rPr>
                <w:rFonts w:ascii="Times New Roman" w:hAnsi="Times New Roman" w:cs="Times New Roman"/>
              </w:rPr>
              <w:t>主持人</w:t>
            </w:r>
          </w:p>
        </w:tc>
        <w:tc>
          <w:tcPr>
            <w:tcW w:w="798" w:type="dxa"/>
            <w:tcMar>
              <w:top w:w="28" w:type="dxa"/>
              <w:left w:w="28" w:type="dxa"/>
              <w:bottom w:w="28" w:type="dxa"/>
              <w:right w:w="28" w:type="dxa"/>
            </w:tcMar>
            <w:vAlign w:val="center"/>
          </w:tcPr>
          <w:p>
            <w:pPr>
              <w:pStyle w:val="12"/>
              <w:rPr>
                <w:rFonts w:ascii="Times New Roman" w:hAnsi="Times New Roman" w:cs="Times New Roman"/>
              </w:rPr>
            </w:pPr>
            <w:r>
              <w:rPr>
                <w:rFonts w:ascii="Times New Roman" w:hAnsi="Times New Roman" w:cs="Times New Roman"/>
              </w:rPr>
              <w:t>姓  名</w:t>
            </w:r>
          </w:p>
        </w:tc>
        <w:tc>
          <w:tcPr>
            <w:tcW w:w="1559" w:type="dxa"/>
            <w:tcMar>
              <w:top w:w="28" w:type="dxa"/>
              <w:left w:w="28" w:type="dxa"/>
              <w:bottom w:w="28" w:type="dxa"/>
              <w:right w:w="28" w:type="dxa"/>
            </w:tcMar>
            <w:vAlign w:val="center"/>
          </w:tcPr>
          <w:p>
            <w:pPr>
              <w:pStyle w:val="12"/>
              <w:rPr>
                <w:rFonts w:ascii="Times New Roman" w:hAnsi="Times New Roman" w:cs="Times New Roman"/>
              </w:rPr>
            </w:pPr>
            <w:r>
              <w:rPr>
                <w:rFonts w:ascii="Times New Roman" w:hAnsi="Times New Roman" w:cs="Times New Roman"/>
              </w:rPr>
              <w:t>职（执）业资格</w:t>
            </w:r>
          </w:p>
          <w:p>
            <w:pPr>
              <w:pStyle w:val="12"/>
              <w:rPr>
                <w:rFonts w:ascii="Times New Roman" w:hAnsi="Times New Roman" w:cs="Times New Roman"/>
              </w:rPr>
            </w:pPr>
            <w:r>
              <w:rPr>
                <w:rFonts w:ascii="Times New Roman" w:hAnsi="Times New Roman" w:cs="Times New Roman"/>
              </w:rPr>
              <w:t>证书编号</w:t>
            </w:r>
          </w:p>
        </w:tc>
        <w:tc>
          <w:tcPr>
            <w:tcW w:w="1559" w:type="dxa"/>
            <w:tcMar>
              <w:top w:w="28" w:type="dxa"/>
              <w:left w:w="28" w:type="dxa"/>
              <w:bottom w:w="28" w:type="dxa"/>
              <w:right w:w="28" w:type="dxa"/>
            </w:tcMar>
            <w:vAlign w:val="center"/>
          </w:tcPr>
          <w:p>
            <w:pPr>
              <w:pStyle w:val="12"/>
              <w:rPr>
                <w:rFonts w:ascii="Times New Roman" w:hAnsi="Times New Roman" w:cs="Times New Roman"/>
              </w:rPr>
            </w:pPr>
            <w:r>
              <w:rPr>
                <w:rFonts w:ascii="Times New Roman" w:hAnsi="Times New Roman" w:cs="Times New Roman"/>
              </w:rPr>
              <w:t>登记（注册证）</w:t>
            </w:r>
          </w:p>
          <w:p>
            <w:pPr>
              <w:pStyle w:val="12"/>
              <w:rPr>
                <w:rFonts w:ascii="Times New Roman" w:hAnsi="Times New Roman" w:cs="Times New Roman"/>
              </w:rPr>
            </w:pPr>
            <w:r>
              <w:rPr>
                <w:rFonts w:ascii="Times New Roman" w:hAnsi="Times New Roman" w:cs="Times New Roman"/>
              </w:rPr>
              <w:t>编号</w:t>
            </w:r>
          </w:p>
        </w:tc>
        <w:tc>
          <w:tcPr>
            <w:tcW w:w="2696" w:type="dxa"/>
            <w:tcMar>
              <w:top w:w="28" w:type="dxa"/>
              <w:left w:w="28" w:type="dxa"/>
              <w:bottom w:w="28" w:type="dxa"/>
              <w:right w:w="28" w:type="dxa"/>
            </w:tcMar>
            <w:vAlign w:val="center"/>
          </w:tcPr>
          <w:p>
            <w:pPr>
              <w:pStyle w:val="12"/>
              <w:rPr>
                <w:rFonts w:ascii="Times New Roman" w:hAnsi="Times New Roman" w:cs="Times New Roman"/>
              </w:rPr>
            </w:pPr>
            <w:r>
              <w:rPr>
                <w:rFonts w:ascii="Times New Roman" w:hAnsi="Times New Roman" w:cs="Times New Roman"/>
              </w:rPr>
              <w:t>专业类别</w:t>
            </w:r>
          </w:p>
        </w:tc>
        <w:tc>
          <w:tcPr>
            <w:tcW w:w="1300" w:type="dxa"/>
            <w:tcMar>
              <w:top w:w="28" w:type="dxa"/>
              <w:left w:w="28" w:type="dxa"/>
              <w:bottom w:w="28" w:type="dxa"/>
              <w:right w:w="28" w:type="dxa"/>
            </w:tcMar>
            <w:vAlign w:val="center"/>
          </w:tcPr>
          <w:p>
            <w:pPr>
              <w:pStyle w:val="12"/>
              <w:rPr>
                <w:rFonts w:ascii="Times New Roman" w:hAnsi="Times New Roman" w:cs="Times New Roman"/>
              </w:rPr>
            </w:pPr>
            <w:r>
              <w:rPr>
                <w:rFonts w:ascii="Times New Roman" w:hAnsi="Times New Roman" w:cs="Times New Roman"/>
              </w:rPr>
              <w:t>本人签名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214" w:type="dxa"/>
            <w:gridSpan w:val="2"/>
            <w:vMerge w:val="continue"/>
            <w:tcMar>
              <w:top w:w="28" w:type="dxa"/>
              <w:left w:w="28" w:type="dxa"/>
              <w:bottom w:w="28" w:type="dxa"/>
              <w:right w:w="28" w:type="dxa"/>
            </w:tcMar>
            <w:vAlign w:val="center"/>
          </w:tcPr>
          <w:p>
            <w:pPr>
              <w:pStyle w:val="12"/>
              <w:rPr>
                <w:rFonts w:ascii="Times New Roman" w:hAnsi="Times New Roman" w:cs="Times New Roman"/>
              </w:rPr>
            </w:pPr>
          </w:p>
        </w:tc>
        <w:tc>
          <w:tcPr>
            <w:tcW w:w="798" w:type="dxa"/>
            <w:tcMar>
              <w:top w:w="28" w:type="dxa"/>
              <w:left w:w="28" w:type="dxa"/>
              <w:bottom w:w="28" w:type="dxa"/>
              <w:right w:w="28" w:type="dxa"/>
            </w:tcMar>
            <w:vAlign w:val="center"/>
          </w:tcPr>
          <w:p>
            <w:pPr>
              <w:pStyle w:val="12"/>
              <w:rPr>
                <w:rFonts w:ascii="Times New Roman" w:hAnsi="Times New Roman" w:cs="Times New Roman"/>
              </w:rPr>
            </w:pPr>
            <w:r>
              <w:rPr>
                <w:rFonts w:ascii="Times New Roman" w:hAnsi="Times New Roman" w:cs="Times New Roman"/>
              </w:rPr>
              <w:t>刘  杰</w:t>
            </w:r>
          </w:p>
        </w:tc>
        <w:tc>
          <w:tcPr>
            <w:tcW w:w="1559" w:type="dxa"/>
            <w:tcMar>
              <w:top w:w="28" w:type="dxa"/>
              <w:left w:w="28" w:type="dxa"/>
              <w:bottom w:w="28" w:type="dxa"/>
              <w:right w:w="28" w:type="dxa"/>
            </w:tcMar>
            <w:vAlign w:val="center"/>
          </w:tcPr>
          <w:p>
            <w:pPr>
              <w:pStyle w:val="12"/>
              <w:rPr>
                <w:rFonts w:ascii="Times New Roman" w:hAnsi="Times New Roman" w:cs="Times New Roman"/>
              </w:rPr>
            </w:pPr>
            <w:r>
              <w:rPr>
                <w:rFonts w:ascii="Times New Roman" w:hAnsi="Times New Roman" w:cs="Times New Roman"/>
              </w:rPr>
              <w:t>0012701</w:t>
            </w:r>
          </w:p>
        </w:tc>
        <w:tc>
          <w:tcPr>
            <w:tcW w:w="1559" w:type="dxa"/>
            <w:tcMar>
              <w:top w:w="28" w:type="dxa"/>
              <w:left w:w="28" w:type="dxa"/>
              <w:bottom w:w="28" w:type="dxa"/>
              <w:right w:w="28" w:type="dxa"/>
            </w:tcMar>
            <w:vAlign w:val="center"/>
          </w:tcPr>
          <w:p>
            <w:pPr>
              <w:pStyle w:val="12"/>
              <w:rPr>
                <w:rFonts w:ascii="Times New Roman" w:hAnsi="Times New Roman" w:cs="Times New Roman"/>
              </w:rPr>
            </w:pPr>
            <w:r>
              <w:rPr>
                <w:rFonts w:ascii="Times New Roman" w:hAnsi="Times New Roman" w:cs="Times New Roman"/>
              </w:rPr>
              <w:t>B199203302</w:t>
            </w:r>
          </w:p>
        </w:tc>
        <w:tc>
          <w:tcPr>
            <w:tcW w:w="2696" w:type="dxa"/>
            <w:tcMar>
              <w:top w:w="28" w:type="dxa"/>
              <w:left w:w="28" w:type="dxa"/>
              <w:bottom w:w="28" w:type="dxa"/>
              <w:right w:w="28" w:type="dxa"/>
            </w:tcMar>
            <w:vAlign w:val="center"/>
          </w:tcPr>
          <w:p>
            <w:pPr>
              <w:pStyle w:val="12"/>
              <w:rPr>
                <w:rFonts w:ascii="Times New Roman" w:hAnsi="Times New Roman" w:cs="Times New Roman"/>
              </w:rPr>
            </w:pPr>
            <w:r>
              <w:rPr>
                <w:rFonts w:ascii="Times New Roman" w:hAnsi="Times New Roman" w:cs="Times New Roman"/>
              </w:rPr>
              <w:t>化工石化医药</w:t>
            </w:r>
          </w:p>
        </w:tc>
        <w:tc>
          <w:tcPr>
            <w:tcW w:w="1300" w:type="dxa"/>
            <w:tcMar>
              <w:top w:w="28" w:type="dxa"/>
              <w:left w:w="28" w:type="dxa"/>
              <w:bottom w:w="28" w:type="dxa"/>
              <w:right w:w="28" w:type="dxa"/>
            </w:tcMar>
            <w:vAlign w:val="center"/>
          </w:tcPr>
          <w:p>
            <w:pPr>
              <w:pStyle w:val="12"/>
              <w:jc w:val="both"/>
              <w:rPr>
                <w:rFonts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53" w:type="dxa"/>
            <w:vMerge w:val="restart"/>
            <w:tcMar>
              <w:top w:w="28" w:type="dxa"/>
              <w:left w:w="28" w:type="dxa"/>
              <w:bottom w:w="28" w:type="dxa"/>
              <w:right w:w="28" w:type="dxa"/>
            </w:tcMar>
            <w:textDirection w:val="tbRlV"/>
            <w:vAlign w:val="center"/>
          </w:tcPr>
          <w:p>
            <w:pPr>
              <w:pStyle w:val="12"/>
              <w:rPr>
                <w:rFonts w:ascii="Times New Roman" w:hAnsi="Times New Roman" w:cs="Times New Roman"/>
              </w:rPr>
            </w:pPr>
            <w:r>
              <w:rPr>
                <w:rFonts w:ascii="Times New Roman" w:hAnsi="Times New Roman" w:cs="Times New Roman"/>
                <w:spacing w:val="47"/>
                <w:kern w:val="0"/>
              </w:rPr>
              <w:t xml:space="preserve">编 制 人 员 情 </w:t>
            </w:r>
            <w:r>
              <w:rPr>
                <w:rFonts w:ascii="Times New Roman" w:hAnsi="Times New Roman" w:cs="Times New Roman"/>
                <w:spacing w:val="2"/>
                <w:kern w:val="0"/>
              </w:rPr>
              <w:t>况</w:t>
            </w:r>
          </w:p>
        </w:tc>
        <w:tc>
          <w:tcPr>
            <w:tcW w:w="761" w:type="dxa"/>
            <w:tcMar>
              <w:top w:w="28" w:type="dxa"/>
              <w:left w:w="28" w:type="dxa"/>
              <w:bottom w:w="28" w:type="dxa"/>
              <w:right w:w="28" w:type="dxa"/>
            </w:tcMar>
            <w:vAlign w:val="center"/>
          </w:tcPr>
          <w:p>
            <w:pPr>
              <w:pStyle w:val="12"/>
              <w:rPr>
                <w:rFonts w:ascii="Times New Roman" w:hAnsi="Times New Roman" w:cs="Times New Roman"/>
              </w:rPr>
            </w:pPr>
            <w:r>
              <w:rPr>
                <w:rFonts w:ascii="Times New Roman" w:hAnsi="Times New Roman" w:cs="Times New Roman"/>
              </w:rPr>
              <w:t>序号</w:t>
            </w:r>
          </w:p>
        </w:tc>
        <w:tc>
          <w:tcPr>
            <w:tcW w:w="798" w:type="dxa"/>
            <w:tcMar>
              <w:top w:w="28" w:type="dxa"/>
              <w:left w:w="28" w:type="dxa"/>
              <w:bottom w:w="28" w:type="dxa"/>
              <w:right w:w="28" w:type="dxa"/>
            </w:tcMar>
            <w:vAlign w:val="center"/>
          </w:tcPr>
          <w:p>
            <w:pPr>
              <w:pStyle w:val="12"/>
              <w:rPr>
                <w:rFonts w:ascii="Times New Roman" w:hAnsi="Times New Roman" w:cs="Times New Roman"/>
              </w:rPr>
            </w:pPr>
            <w:r>
              <w:rPr>
                <w:rFonts w:ascii="Times New Roman" w:hAnsi="Times New Roman" w:cs="Times New Roman"/>
              </w:rPr>
              <w:t>姓  名</w:t>
            </w:r>
          </w:p>
        </w:tc>
        <w:tc>
          <w:tcPr>
            <w:tcW w:w="1559" w:type="dxa"/>
            <w:tcMar>
              <w:top w:w="28" w:type="dxa"/>
              <w:left w:w="28" w:type="dxa"/>
              <w:bottom w:w="28" w:type="dxa"/>
              <w:right w:w="28" w:type="dxa"/>
            </w:tcMar>
            <w:vAlign w:val="center"/>
          </w:tcPr>
          <w:p>
            <w:pPr>
              <w:pStyle w:val="12"/>
              <w:rPr>
                <w:rFonts w:ascii="Times New Roman" w:hAnsi="Times New Roman" w:cs="Times New Roman"/>
              </w:rPr>
            </w:pPr>
            <w:r>
              <w:rPr>
                <w:rFonts w:ascii="Times New Roman" w:hAnsi="Times New Roman" w:cs="Times New Roman"/>
              </w:rPr>
              <w:t>职（执）业资格</w:t>
            </w:r>
          </w:p>
          <w:p>
            <w:pPr>
              <w:pStyle w:val="12"/>
              <w:rPr>
                <w:rFonts w:ascii="Times New Roman" w:hAnsi="Times New Roman" w:cs="Times New Roman"/>
              </w:rPr>
            </w:pPr>
            <w:r>
              <w:rPr>
                <w:rFonts w:ascii="Times New Roman" w:hAnsi="Times New Roman" w:cs="Times New Roman"/>
              </w:rPr>
              <w:t>证书编号</w:t>
            </w:r>
          </w:p>
        </w:tc>
        <w:tc>
          <w:tcPr>
            <w:tcW w:w="1559" w:type="dxa"/>
            <w:tcMar>
              <w:top w:w="28" w:type="dxa"/>
              <w:left w:w="28" w:type="dxa"/>
              <w:bottom w:w="28" w:type="dxa"/>
              <w:right w:w="28" w:type="dxa"/>
            </w:tcMar>
            <w:vAlign w:val="center"/>
          </w:tcPr>
          <w:p>
            <w:pPr>
              <w:pStyle w:val="12"/>
              <w:rPr>
                <w:rFonts w:ascii="Times New Roman" w:hAnsi="Times New Roman" w:cs="Times New Roman"/>
              </w:rPr>
            </w:pPr>
            <w:r>
              <w:rPr>
                <w:rFonts w:ascii="Times New Roman" w:hAnsi="Times New Roman" w:cs="Times New Roman"/>
              </w:rPr>
              <w:t>登记（注册证）</w:t>
            </w:r>
          </w:p>
          <w:p>
            <w:pPr>
              <w:pStyle w:val="12"/>
              <w:rPr>
                <w:rFonts w:ascii="Times New Roman" w:hAnsi="Times New Roman" w:cs="Times New Roman"/>
              </w:rPr>
            </w:pPr>
            <w:r>
              <w:rPr>
                <w:rFonts w:ascii="Times New Roman" w:hAnsi="Times New Roman" w:cs="Times New Roman"/>
              </w:rPr>
              <w:t>编号</w:t>
            </w:r>
          </w:p>
        </w:tc>
        <w:tc>
          <w:tcPr>
            <w:tcW w:w="2696" w:type="dxa"/>
            <w:tcMar>
              <w:top w:w="28" w:type="dxa"/>
              <w:left w:w="28" w:type="dxa"/>
              <w:bottom w:w="28" w:type="dxa"/>
              <w:right w:w="28" w:type="dxa"/>
            </w:tcMar>
            <w:vAlign w:val="center"/>
          </w:tcPr>
          <w:p>
            <w:pPr>
              <w:pStyle w:val="12"/>
              <w:rPr>
                <w:rFonts w:ascii="Times New Roman" w:hAnsi="Times New Roman" w:cs="Times New Roman"/>
              </w:rPr>
            </w:pPr>
            <w:r>
              <w:rPr>
                <w:rFonts w:ascii="Times New Roman" w:hAnsi="Times New Roman" w:cs="Times New Roman"/>
              </w:rPr>
              <w:t>编制内容</w:t>
            </w:r>
          </w:p>
        </w:tc>
        <w:tc>
          <w:tcPr>
            <w:tcW w:w="1300" w:type="dxa"/>
            <w:tcMar>
              <w:top w:w="28" w:type="dxa"/>
              <w:left w:w="28" w:type="dxa"/>
              <w:bottom w:w="28" w:type="dxa"/>
              <w:right w:w="28" w:type="dxa"/>
            </w:tcMar>
            <w:vAlign w:val="center"/>
          </w:tcPr>
          <w:p>
            <w:pPr>
              <w:pStyle w:val="12"/>
              <w:rPr>
                <w:rFonts w:ascii="Times New Roman" w:hAnsi="Times New Roman" w:cs="Times New Roman"/>
              </w:rPr>
            </w:pPr>
            <w:r>
              <w:rPr>
                <w:rFonts w:ascii="Times New Roman" w:hAnsi="Times New Roman" w:cs="Times New Roman"/>
              </w:rPr>
              <w:t>本人签名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45" w:hRule="atLeast"/>
          <w:jc w:val="center"/>
        </w:trPr>
        <w:tc>
          <w:tcPr>
            <w:tcW w:w="453" w:type="dxa"/>
            <w:vMerge w:val="continue"/>
            <w:tcMar>
              <w:top w:w="28" w:type="dxa"/>
              <w:left w:w="28" w:type="dxa"/>
              <w:bottom w:w="28" w:type="dxa"/>
              <w:right w:w="28" w:type="dxa"/>
            </w:tcMar>
            <w:textDirection w:val="tbRlV"/>
            <w:vAlign w:val="center"/>
          </w:tcPr>
          <w:p>
            <w:pPr>
              <w:pStyle w:val="12"/>
              <w:rPr>
                <w:rFonts w:ascii="Times New Roman" w:hAnsi="Times New Roman" w:cs="Times New Roman"/>
              </w:rPr>
            </w:pPr>
          </w:p>
        </w:tc>
        <w:tc>
          <w:tcPr>
            <w:tcW w:w="761" w:type="dxa"/>
            <w:tcMar>
              <w:top w:w="28" w:type="dxa"/>
              <w:left w:w="28" w:type="dxa"/>
              <w:bottom w:w="28" w:type="dxa"/>
              <w:right w:w="28" w:type="dxa"/>
            </w:tcMar>
            <w:vAlign w:val="center"/>
          </w:tcPr>
          <w:p>
            <w:pPr>
              <w:pStyle w:val="12"/>
              <w:rPr>
                <w:rFonts w:ascii="Times New Roman" w:hAnsi="Times New Roman" w:cs="Times New Roman"/>
              </w:rPr>
            </w:pPr>
            <w:r>
              <w:rPr>
                <w:rFonts w:ascii="Times New Roman" w:hAnsi="Times New Roman" w:cs="Times New Roman"/>
              </w:rPr>
              <w:t>1</w:t>
            </w:r>
          </w:p>
        </w:tc>
        <w:tc>
          <w:tcPr>
            <w:tcW w:w="798" w:type="dxa"/>
            <w:tcMar>
              <w:top w:w="28" w:type="dxa"/>
              <w:left w:w="28" w:type="dxa"/>
              <w:bottom w:w="28" w:type="dxa"/>
              <w:right w:w="28" w:type="dxa"/>
            </w:tcMar>
            <w:vAlign w:val="center"/>
          </w:tcPr>
          <w:p>
            <w:pPr>
              <w:pStyle w:val="12"/>
              <w:rPr>
                <w:rFonts w:ascii="Times New Roman" w:hAnsi="Times New Roman" w:cs="Times New Roman"/>
              </w:rPr>
            </w:pPr>
            <w:r>
              <w:rPr>
                <w:rFonts w:ascii="Times New Roman" w:hAnsi="Times New Roman" w:cs="Times New Roman"/>
              </w:rPr>
              <w:t>刘  杰</w:t>
            </w:r>
          </w:p>
        </w:tc>
        <w:tc>
          <w:tcPr>
            <w:tcW w:w="1559" w:type="dxa"/>
            <w:tcMar>
              <w:top w:w="28" w:type="dxa"/>
              <w:left w:w="28" w:type="dxa"/>
              <w:bottom w:w="28" w:type="dxa"/>
              <w:right w:w="28" w:type="dxa"/>
            </w:tcMar>
            <w:vAlign w:val="center"/>
          </w:tcPr>
          <w:p>
            <w:pPr>
              <w:pStyle w:val="12"/>
              <w:rPr>
                <w:rFonts w:ascii="Times New Roman" w:hAnsi="Times New Roman" w:cs="Times New Roman"/>
              </w:rPr>
            </w:pPr>
            <w:r>
              <w:rPr>
                <w:rFonts w:ascii="Times New Roman" w:hAnsi="Times New Roman" w:cs="Times New Roman"/>
              </w:rPr>
              <w:t>0012701</w:t>
            </w:r>
          </w:p>
        </w:tc>
        <w:tc>
          <w:tcPr>
            <w:tcW w:w="1559" w:type="dxa"/>
            <w:tcMar>
              <w:top w:w="28" w:type="dxa"/>
              <w:left w:w="28" w:type="dxa"/>
              <w:bottom w:w="28" w:type="dxa"/>
              <w:right w:w="28" w:type="dxa"/>
            </w:tcMar>
            <w:vAlign w:val="center"/>
          </w:tcPr>
          <w:p>
            <w:pPr>
              <w:pStyle w:val="12"/>
              <w:rPr>
                <w:rFonts w:ascii="Times New Roman" w:hAnsi="Times New Roman" w:cs="Times New Roman"/>
              </w:rPr>
            </w:pPr>
            <w:r>
              <w:rPr>
                <w:rFonts w:ascii="Times New Roman" w:hAnsi="Times New Roman" w:cs="Times New Roman"/>
              </w:rPr>
              <w:t>B199203302</w:t>
            </w:r>
          </w:p>
        </w:tc>
        <w:tc>
          <w:tcPr>
            <w:tcW w:w="2696" w:type="dxa"/>
            <w:tcMar>
              <w:top w:w="28" w:type="dxa"/>
              <w:left w:w="28" w:type="dxa"/>
              <w:bottom w:w="28" w:type="dxa"/>
              <w:right w:w="28" w:type="dxa"/>
            </w:tcMar>
            <w:vAlign w:val="center"/>
          </w:tcPr>
          <w:p>
            <w:pPr>
              <w:pStyle w:val="12"/>
              <w:jc w:val="left"/>
              <w:rPr>
                <w:rFonts w:ascii="Times New Roman" w:hAnsi="Times New Roman" w:cs="Times New Roman"/>
              </w:rPr>
            </w:pPr>
            <w:r>
              <w:rPr>
                <w:rFonts w:ascii="Times New Roman" w:hAnsi="Times New Roman" w:cs="Times New Roman"/>
              </w:rPr>
              <w:t>建设项目基本情况</w:t>
            </w:r>
          </w:p>
          <w:p>
            <w:pPr>
              <w:pStyle w:val="12"/>
              <w:jc w:val="left"/>
              <w:rPr>
                <w:rFonts w:ascii="Times New Roman" w:hAnsi="Times New Roman" w:cs="Times New Roman"/>
              </w:rPr>
            </w:pPr>
            <w:r>
              <w:rPr>
                <w:rFonts w:ascii="Times New Roman" w:hAnsi="Times New Roman" w:cs="Times New Roman"/>
              </w:rPr>
              <w:t>建设项目拟采取的防治措施及预期治理效果</w:t>
            </w:r>
          </w:p>
          <w:p>
            <w:pPr>
              <w:pStyle w:val="12"/>
              <w:jc w:val="left"/>
              <w:rPr>
                <w:rFonts w:ascii="Times New Roman" w:hAnsi="Times New Roman" w:cs="Times New Roman"/>
              </w:rPr>
            </w:pPr>
            <w:r>
              <w:rPr>
                <w:rFonts w:ascii="Times New Roman" w:hAnsi="Times New Roman" w:cs="Times New Roman"/>
              </w:rPr>
              <w:t>结论与建议</w:t>
            </w:r>
          </w:p>
        </w:tc>
        <w:tc>
          <w:tcPr>
            <w:tcW w:w="1300" w:type="dxa"/>
            <w:tcMar>
              <w:top w:w="28" w:type="dxa"/>
              <w:left w:w="28" w:type="dxa"/>
              <w:bottom w:w="28" w:type="dxa"/>
              <w:right w:w="28" w:type="dxa"/>
            </w:tcMar>
            <w:vAlign w:val="center"/>
          </w:tcPr>
          <w:p>
            <w:pPr>
              <w:pStyle w:val="12"/>
              <w:rPr>
                <w:rFonts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785" w:hRule="atLeast"/>
          <w:jc w:val="center"/>
        </w:trPr>
        <w:tc>
          <w:tcPr>
            <w:tcW w:w="453" w:type="dxa"/>
            <w:vMerge w:val="continue"/>
            <w:tcMar>
              <w:top w:w="28" w:type="dxa"/>
              <w:left w:w="28" w:type="dxa"/>
              <w:bottom w:w="28" w:type="dxa"/>
              <w:right w:w="28" w:type="dxa"/>
            </w:tcMar>
            <w:vAlign w:val="center"/>
          </w:tcPr>
          <w:p>
            <w:pPr>
              <w:pStyle w:val="12"/>
              <w:rPr>
                <w:rFonts w:ascii="Times New Roman" w:hAnsi="Times New Roman" w:cs="Times New Roman"/>
              </w:rPr>
            </w:pPr>
          </w:p>
        </w:tc>
        <w:tc>
          <w:tcPr>
            <w:tcW w:w="761" w:type="dxa"/>
            <w:tcMar>
              <w:top w:w="28" w:type="dxa"/>
              <w:left w:w="28" w:type="dxa"/>
              <w:bottom w:w="28" w:type="dxa"/>
              <w:right w:w="28" w:type="dxa"/>
            </w:tcMar>
            <w:vAlign w:val="center"/>
          </w:tcPr>
          <w:p>
            <w:pPr>
              <w:pStyle w:val="12"/>
              <w:rPr>
                <w:rFonts w:ascii="Times New Roman" w:hAnsi="Times New Roman" w:cs="Times New Roman"/>
              </w:rPr>
            </w:pPr>
            <w:r>
              <w:rPr>
                <w:rFonts w:ascii="Times New Roman" w:hAnsi="Times New Roman" w:cs="Times New Roman"/>
              </w:rPr>
              <w:t>2</w:t>
            </w:r>
          </w:p>
        </w:tc>
        <w:tc>
          <w:tcPr>
            <w:tcW w:w="798" w:type="dxa"/>
            <w:tcMar>
              <w:top w:w="28" w:type="dxa"/>
              <w:left w:w="28" w:type="dxa"/>
              <w:bottom w:w="28" w:type="dxa"/>
              <w:right w:w="28" w:type="dxa"/>
            </w:tcMar>
            <w:vAlign w:val="center"/>
          </w:tcPr>
          <w:p>
            <w:pPr>
              <w:pStyle w:val="12"/>
              <w:rPr>
                <w:rFonts w:ascii="Times New Roman" w:hAnsi="Times New Roman" w:cs="Times New Roman"/>
              </w:rPr>
            </w:pPr>
            <w:r>
              <w:rPr>
                <w:rFonts w:ascii="Times New Roman" w:hAnsi="Times New Roman" w:cs="Times New Roman"/>
              </w:rPr>
              <w:t>王文林</w:t>
            </w:r>
          </w:p>
        </w:tc>
        <w:tc>
          <w:tcPr>
            <w:tcW w:w="1559" w:type="dxa"/>
            <w:tcMar>
              <w:top w:w="28" w:type="dxa"/>
              <w:left w:w="28" w:type="dxa"/>
              <w:bottom w:w="28" w:type="dxa"/>
              <w:right w:w="28" w:type="dxa"/>
            </w:tcMar>
            <w:vAlign w:val="center"/>
          </w:tcPr>
          <w:p>
            <w:pPr>
              <w:pStyle w:val="12"/>
              <w:rPr>
                <w:rFonts w:ascii="Times New Roman" w:hAnsi="Times New Roman" w:cs="Times New Roman"/>
              </w:rPr>
            </w:pPr>
            <w:r>
              <w:rPr>
                <w:rFonts w:ascii="Times New Roman" w:hAnsi="Times New Roman" w:cs="Times New Roman"/>
              </w:rPr>
              <w:t>0006378</w:t>
            </w:r>
          </w:p>
        </w:tc>
        <w:tc>
          <w:tcPr>
            <w:tcW w:w="1559" w:type="dxa"/>
            <w:tcMar>
              <w:top w:w="28" w:type="dxa"/>
              <w:left w:w="28" w:type="dxa"/>
              <w:bottom w:w="28" w:type="dxa"/>
              <w:right w:w="28" w:type="dxa"/>
            </w:tcMar>
            <w:vAlign w:val="center"/>
          </w:tcPr>
          <w:p>
            <w:pPr>
              <w:pStyle w:val="12"/>
              <w:rPr>
                <w:rFonts w:ascii="Times New Roman" w:hAnsi="Times New Roman" w:cs="Times New Roman"/>
              </w:rPr>
            </w:pPr>
            <w:r>
              <w:rPr>
                <w:rFonts w:ascii="Times New Roman" w:hAnsi="Times New Roman" w:cs="Times New Roman"/>
              </w:rPr>
              <w:t>B199204105</w:t>
            </w:r>
          </w:p>
        </w:tc>
        <w:tc>
          <w:tcPr>
            <w:tcW w:w="2696" w:type="dxa"/>
            <w:tcMar>
              <w:top w:w="28" w:type="dxa"/>
              <w:left w:w="28" w:type="dxa"/>
              <w:bottom w:w="28" w:type="dxa"/>
              <w:right w:w="28" w:type="dxa"/>
            </w:tcMar>
            <w:vAlign w:val="center"/>
          </w:tcPr>
          <w:p>
            <w:pPr>
              <w:pStyle w:val="12"/>
              <w:jc w:val="left"/>
              <w:rPr>
                <w:rFonts w:ascii="Times New Roman" w:hAnsi="Times New Roman" w:cs="Times New Roman"/>
              </w:rPr>
            </w:pPr>
            <w:r>
              <w:rPr>
                <w:rFonts w:ascii="Times New Roman" w:hAnsi="Times New Roman" w:cs="Times New Roman"/>
              </w:rPr>
              <w:t>建设项目所在地自然环境</w:t>
            </w:r>
          </w:p>
          <w:p>
            <w:pPr>
              <w:pStyle w:val="12"/>
              <w:jc w:val="left"/>
              <w:rPr>
                <w:rFonts w:ascii="Times New Roman" w:hAnsi="Times New Roman" w:cs="Times New Roman"/>
              </w:rPr>
            </w:pPr>
            <w:r>
              <w:rPr>
                <w:rFonts w:ascii="Times New Roman" w:hAnsi="Times New Roman" w:cs="Times New Roman"/>
              </w:rPr>
              <w:t>社会环境简况</w:t>
            </w:r>
          </w:p>
          <w:p>
            <w:pPr>
              <w:pStyle w:val="12"/>
              <w:jc w:val="left"/>
              <w:rPr>
                <w:rFonts w:ascii="Times New Roman" w:hAnsi="Times New Roman" w:cs="Times New Roman"/>
              </w:rPr>
            </w:pPr>
            <w:r>
              <w:rPr>
                <w:rFonts w:ascii="Times New Roman" w:hAnsi="Times New Roman" w:cs="Times New Roman"/>
              </w:rPr>
              <w:t>环境质量现状</w:t>
            </w:r>
          </w:p>
          <w:p>
            <w:pPr>
              <w:pStyle w:val="12"/>
              <w:jc w:val="left"/>
              <w:rPr>
                <w:rFonts w:ascii="Times New Roman" w:hAnsi="Times New Roman" w:cs="Times New Roman"/>
              </w:rPr>
            </w:pPr>
            <w:r>
              <w:rPr>
                <w:rFonts w:ascii="Times New Roman" w:hAnsi="Times New Roman" w:cs="Times New Roman"/>
              </w:rPr>
              <w:t>评价适用标准</w:t>
            </w:r>
          </w:p>
          <w:p>
            <w:pPr>
              <w:pStyle w:val="12"/>
              <w:jc w:val="left"/>
              <w:rPr>
                <w:rFonts w:ascii="Times New Roman" w:hAnsi="Times New Roman" w:cs="Times New Roman"/>
              </w:rPr>
            </w:pPr>
            <w:r>
              <w:rPr>
                <w:rFonts w:ascii="Times New Roman" w:hAnsi="Times New Roman" w:cs="Times New Roman"/>
              </w:rPr>
              <w:t>建设项目工程分析</w:t>
            </w:r>
          </w:p>
          <w:p>
            <w:pPr>
              <w:pStyle w:val="12"/>
              <w:jc w:val="left"/>
              <w:rPr>
                <w:rFonts w:ascii="Times New Roman" w:hAnsi="Times New Roman" w:cs="Times New Roman"/>
              </w:rPr>
            </w:pPr>
            <w:r>
              <w:rPr>
                <w:rFonts w:ascii="Times New Roman" w:hAnsi="Times New Roman" w:cs="Times New Roman"/>
              </w:rPr>
              <w:t>项目主要污染物产生及预计排放情况</w:t>
            </w:r>
          </w:p>
          <w:p>
            <w:pPr>
              <w:pStyle w:val="12"/>
              <w:jc w:val="left"/>
              <w:rPr>
                <w:rFonts w:ascii="Times New Roman" w:hAnsi="Times New Roman" w:cs="Times New Roman"/>
              </w:rPr>
            </w:pPr>
            <w:r>
              <w:rPr>
                <w:rFonts w:ascii="Times New Roman" w:hAnsi="Times New Roman" w:cs="Times New Roman"/>
              </w:rPr>
              <w:t>环境影响分析</w:t>
            </w:r>
          </w:p>
        </w:tc>
        <w:tc>
          <w:tcPr>
            <w:tcW w:w="1300" w:type="dxa"/>
            <w:tcMar>
              <w:top w:w="28" w:type="dxa"/>
              <w:left w:w="28" w:type="dxa"/>
              <w:bottom w:w="28" w:type="dxa"/>
              <w:right w:w="28" w:type="dxa"/>
            </w:tcMar>
            <w:vAlign w:val="center"/>
          </w:tcPr>
          <w:p>
            <w:pPr>
              <w:pStyle w:val="12"/>
              <w:rPr>
                <w:rFonts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53" w:type="dxa"/>
            <w:vMerge w:val="continue"/>
            <w:tcMar>
              <w:top w:w="28" w:type="dxa"/>
              <w:left w:w="28" w:type="dxa"/>
              <w:bottom w:w="28" w:type="dxa"/>
              <w:right w:w="28" w:type="dxa"/>
            </w:tcMar>
            <w:vAlign w:val="center"/>
          </w:tcPr>
          <w:p>
            <w:pPr>
              <w:pStyle w:val="12"/>
              <w:rPr>
                <w:rFonts w:ascii="Times New Roman" w:hAnsi="Times New Roman" w:cs="Times New Roman"/>
              </w:rPr>
            </w:pPr>
          </w:p>
        </w:tc>
        <w:tc>
          <w:tcPr>
            <w:tcW w:w="761" w:type="dxa"/>
            <w:tcMar>
              <w:top w:w="28" w:type="dxa"/>
              <w:left w:w="28" w:type="dxa"/>
              <w:bottom w:w="28" w:type="dxa"/>
              <w:right w:w="28" w:type="dxa"/>
            </w:tcMar>
            <w:vAlign w:val="center"/>
          </w:tcPr>
          <w:p>
            <w:pPr>
              <w:pStyle w:val="12"/>
              <w:rPr>
                <w:rFonts w:ascii="Times New Roman" w:hAnsi="Times New Roman" w:cs="Times New Roman"/>
              </w:rPr>
            </w:pPr>
          </w:p>
        </w:tc>
        <w:tc>
          <w:tcPr>
            <w:tcW w:w="798" w:type="dxa"/>
            <w:tcMar>
              <w:top w:w="28" w:type="dxa"/>
              <w:left w:w="28" w:type="dxa"/>
              <w:bottom w:w="28" w:type="dxa"/>
              <w:right w:w="28" w:type="dxa"/>
            </w:tcMar>
            <w:vAlign w:val="center"/>
          </w:tcPr>
          <w:p>
            <w:pPr>
              <w:pStyle w:val="12"/>
              <w:rPr>
                <w:rFonts w:ascii="Times New Roman" w:hAnsi="Times New Roman" w:cs="Times New Roman"/>
              </w:rPr>
            </w:pPr>
          </w:p>
        </w:tc>
        <w:tc>
          <w:tcPr>
            <w:tcW w:w="1559" w:type="dxa"/>
            <w:tcMar>
              <w:top w:w="28" w:type="dxa"/>
              <w:left w:w="28" w:type="dxa"/>
              <w:bottom w:w="28" w:type="dxa"/>
              <w:right w:w="28" w:type="dxa"/>
            </w:tcMar>
            <w:vAlign w:val="center"/>
          </w:tcPr>
          <w:p>
            <w:pPr>
              <w:pStyle w:val="12"/>
              <w:rPr>
                <w:rFonts w:ascii="Times New Roman" w:hAnsi="Times New Roman" w:cs="Times New Roman"/>
              </w:rPr>
            </w:pPr>
          </w:p>
        </w:tc>
        <w:tc>
          <w:tcPr>
            <w:tcW w:w="1559" w:type="dxa"/>
            <w:tcMar>
              <w:top w:w="28" w:type="dxa"/>
              <w:left w:w="28" w:type="dxa"/>
              <w:bottom w:w="28" w:type="dxa"/>
              <w:right w:w="28" w:type="dxa"/>
            </w:tcMar>
            <w:vAlign w:val="center"/>
          </w:tcPr>
          <w:p>
            <w:pPr>
              <w:pStyle w:val="12"/>
              <w:rPr>
                <w:rFonts w:ascii="Times New Roman" w:hAnsi="Times New Roman" w:cs="Times New Roman"/>
              </w:rPr>
            </w:pPr>
          </w:p>
        </w:tc>
        <w:tc>
          <w:tcPr>
            <w:tcW w:w="2696" w:type="dxa"/>
            <w:tcMar>
              <w:top w:w="28" w:type="dxa"/>
              <w:left w:w="28" w:type="dxa"/>
              <w:bottom w:w="28" w:type="dxa"/>
              <w:right w:w="28" w:type="dxa"/>
            </w:tcMar>
            <w:vAlign w:val="center"/>
          </w:tcPr>
          <w:p>
            <w:pPr>
              <w:pStyle w:val="12"/>
              <w:rPr>
                <w:rFonts w:ascii="Times New Roman" w:hAnsi="Times New Roman" w:cs="Times New Roman"/>
              </w:rPr>
            </w:pPr>
          </w:p>
        </w:tc>
        <w:tc>
          <w:tcPr>
            <w:tcW w:w="1300" w:type="dxa"/>
            <w:tcMar>
              <w:top w:w="28" w:type="dxa"/>
              <w:left w:w="28" w:type="dxa"/>
              <w:bottom w:w="28" w:type="dxa"/>
              <w:right w:w="28" w:type="dxa"/>
            </w:tcMar>
            <w:vAlign w:val="center"/>
          </w:tcPr>
          <w:p>
            <w:pPr>
              <w:pStyle w:val="12"/>
              <w:rPr>
                <w:rFonts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53" w:type="dxa"/>
            <w:vMerge w:val="continue"/>
            <w:tcMar>
              <w:top w:w="28" w:type="dxa"/>
              <w:left w:w="28" w:type="dxa"/>
              <w:bottom w:w="28" w:type="dxa"/>
              <w:right w:w="28" w:type="dxa"/>
            </w:tcMar>
            <w:vAlign w:val="center"/>
          </w:tcPr>
          <w:p>
            <w:pPr>
              <w:pStyle w:val="12"/>
              <w:rPr>
                <w:rFonts w:ascii="Times New Roman" w:hAnsi="Times New Roman" w:cs="Times New Roman"/>
              </w:rPr>
            </w:pPr>
          </w:p>
        </w:tc>
        <w:tc>
          <w:tcPr>
            <w:tcW w:w="761" w:type="dxa"/>
            <w:tcMar>
              <w:top w:w="28" w:type="dxa"/>
              <w:left w:w="28" w:type="dxa"/>
              <w:bottom w:w="28" w:type="dxa"/>
              <w:right w:w="28" w:type="dxa"/>
            </w:tcMar>
            <w:vAlign w:val="center"/>
          </w:tcPr>
          <w:p>
            <w:pPr>
              <w:pStyle w:val="12"/>
              <w:rPr>
                <w:rFonts w:ascii="Times New Roman" w:hAnsi="Times New Roman" w:cs="Times New Roman"/>
              </w:rPr>
            </w:pPr>
          </w:p>
        </w:tc>
        <w:tc>
          <w:tcPr>
            <w:tcW w:w="798" w:type="dxa"/>
            <w:tcMar>
              <w:top w:w="28" w:type="dxa"/>
              <w:left w:w="28" w:type="dxa"/>
              <w:bottom w:w="28" w:type="dxa"/>
              <w:right w:w="28" w:type="dxa"/>
            </w:tcMar>
            <w:vAlign w:val="center"/>
          </w:tcPr>
          <w:p>
            <w:pPr>
              <w:pStyle w:val="12"/>
              <w:rPr>
                <w:rFonts w:ascii="Times New Roman" w:hAnsi="Times New Roman" w:cs="Times New Roman"/>
              </w:rPr>
            </w:pPr>
          </w:p>
        </w:tc>
        <w:tc>
          <w:tcPr>
            <w:tcW w:w="1559" w:type="dxa"/>
            <w:tcMar>
              <w:top w:w="28" w:type="dxa"/>
              <w:left w:w="28" w:type="dxa"/>
              <w:bottom w:w="28" w:type="dxa"/>
              <w:right w:w="28" w:type="dxa"/>
            </w:tcMar>
            <w:vAlign w:val="center"/>
          </w:tcPr>
          <w:p>
            <w:pPr>
              <w:pStyle w:val="12"/>
              <w:rPr>
                <w:rFonts w:ascii="Times New Roman" w:hAnsi="Times New Roman" w:cs="Times New Roman"/>
              </w:rPr>
            </w:pPr>
          </w:p>
        </w:tc>
        <w:tc>
          <w:tcPr>
            <w:tcW w:w="1559" w:type="dxa"/>
            <w:tcMar>
              <w:top w:w="28" w:type="dxa"/>
              <w:left w:w="28" w:type="dxa"/>
              <w:bottom w:w="28" w:type="dxa"/>
              <w:right w:w="28" w:type="dxa"/>
            </w:tcMar>
            <w:vAlign w:val="center"/>
          </w:tcPr>
          <w:p>
            <w:pPr>
              <w:pStyle w:val="12"/>
              <w:rPr>
                <w:rFonts w:ascii="Times New Roman" w:hAnsi="Times New Roman" w:cs="Times New Roman"/>
              </w:rPr>
            </w:pPr>
          </w:p>
        </w:tc>
        <w:tc>
          <w:tcPr>
            <w:tcW w:w="2696" w:type="dxa"/>
            <w:tcMar>
              <w:top w:w="28" w:type="dxa"/>
              <w:left w:w="28" w:type="dxa"/>
              <w:bottom w:w="28" w:type="dxa"/>
              <w:right w:w="28" w:type="dxa"/>
            </w:tcMar>
            <w:vAlign w:val="center"/>
          </w:tcPr>
          <w:p>
            <w:pPr>
              <w:pStyle w:val="12"/>
              <w:rPr>
                <w:rFonts w:ascii="Times New Roman" w:hAnsi="Times New Roman" w:cs="Times New Roman"/>
              </w:rPr>
            </w:pPr>
          </w:p>
        </w:tc>
        <w:tc>
          <w:tcPr>
            <w:tcW w:w="1300" w:type="dxa"/>
            <w:tcMar>
              <w:top w:w="28" w:type="dxa"/>
              <w:left w:w="28" w:type="dxa"/>
              <w:bottom w:w="28" w:type="dxa"/>
              <w:right w:w="28" w:type="dxa"/>
            </w:tcMar>
            <w:vAlign w:val="center"/>
          </w:tcPr>
          <w:p>
            <w:pPr>
              <w:pStyle w:val="12"/>
              <w:rPr>
                <w:rFonts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53" w:type="dxa"/>
            <w:vMerge w:val="continue"/>
            <w:tcMar>
              <w:top w:w="28" w:type="dxa"/>
              <w:left w:w="28" w:type="dxa"/>
              <w:bottom w:w="28" w:type="dxa"/>
              <w:right w:w="28" w:type="dxa"/>
            </w:tcMar>
            <w:vAlign w:val="center"/>
          </w:tcPr>
          <w:p>
            <w:pPr>
              <w:pStyle w:val="12"/>
              <w:rPr>
                <w:rFonts w:ascii="Times New Roman" w:hAnsi="Times New Roman" w:cs="Times New Roman"/>
              </w:rPr>
            </w:pPr>
          </w:p>
        </w:tc>
        <w:tc>
          <w:tcPr>
            <w:tcW w:w="761" w:type="dxa"/>
            <w:tcMar>
              <w:top w:w="28" w:type="dxa"/>
              <w:left w:w="28" w:type="dxa"/>
              <w:bottom w:w="28" w:type="dxa"/>
              <w:right w:w="28" w:type="dxa"/>
            </w:tcMar>
            <w:vAlign w:val="center"/>
          </w:tcPr>
          <w:p>
            <w:pPr>
              <w:pStyle w:val="12"/>
              <w:rPr>
                <w:rFonts w:ascii="Times New Roman" w:hAnsi="Times New Roman" w:cs="Times New Roman"/>
              </w:rPr>
            </w:pPr>
          </w:p>
        </w:tc>
        <w:tc>
          <w:tcPr>
            <w:tcW w:w="798" w:type="dxa"/>
            <w:tcMar>
              <w:top w:w="28" w:type="dxa"/>
              <w:left w:w="28" w:type="dxa"/>
              <w:bottom w:w="28" w:type="dxa"/>
              <w:right w:w="28" w:type="dxa"/>
            </w:tcMar>
            <w:vAlign w:val="center"/>
          </w:tcPr>
          <w:p>
            <w:pPr>
              <w:pStyle w:val="12"/>
              <w:rPr>
                <w:rFonts w:ascii="Times New Roman" w:hAnsi="Times New Roman" w:cs="Times New Roman"/>
              </w:rPr>
            </w:pPr>
          </w:p>
        </w:tc>
        <w:tc>
          <w:tcPr>
            <w:tcW w:w="1559" w:type="dxa"/>
            <w:tcMar>
              <w:top w:w="28" w:type="dxa"/>
              <w:left w:w="28" w:type="dxa"/>
              <w:bottom w:w="28" w:type="dxa"/>
              <w:right w:w="28" w:type="dxa"/>
            </w:tcMar>
            <w:vAlign w:val="center"/>
          </w:tcPr>
          <w:p>
            <w:pPr>
              <w:pStyle w:val="12"/>
              <w:rPr>
                <w:rFonts w:ascii="Times New Roman" w:hAnsi="Times New Roman" w:cs="Times New Roman"/>
              </w:rPr>
            </w:pPr>
          </w:p>
        </w:tc>
        <w:tc>
          <w:tcPr>
            <w:tcW w:w="1559" w:type="dxa"/>
            <w:tcMar>
              <w:top w:w="28" w:type="dxa"/>
              <w:left w:w="28" w:type="dxa"/>
              <w:bottom w:w="28" w:type="dxa"/>
              <w:right w:w="28" w:type="dxa"/>
            </w:tcMar>
            <w:vAlign w:val="center"/>
          </w:tcPr>
          <w:p>
            <w:pPr>
              <w:pStyle w:val="12"/>
              <w:rPr>
                <w:rFonts w:ascii="Times New Roman" w:hAnsi="Times New Roman" w:cs="Times New Roman"/>
              </w:rPr>
            </w:pPr>
          </w:p>
        </w:tc>
        <w:tc>
          <w:tcPr>
            <w:tcW w:w="2696" w:type="dxa"/>
            <w:tcMar>
              <w:top w:w="28" w:type="dxa"/>
              <w:left w:w="28" w:type="dxa"/>
              <w:bottom w:w="28" w:type="dxa"/>
              <w:right w:w="28" w:type="dxa"/>
            </w:tcMar>
            <w:vAlign w:val="center"/>
          </w:tcPr>
          <w:p>
            <w:pPr>
              <w:pStyle w:val="12"/>
              <w:rPr>
                <w:rFonts w:ascii="Times New Roman" w:hAnsi="Times New Roman" w:cs="Times New Roman"/>
              </w:rPr>
            </w:pPr>
          </w:p>
        </w:tc>
        <w:tc>
          <w:tcPr>
            <w:tcW w:w="1300" w:type="dxa"/>
            <w:tcMar>
              <w:top w:w="28" w:type="dxa"/>
              <w:left w:w="28" w:type="dxa"/>
              <w:bottom w:w="28" w:type="dxa"/>
              <w:right w:w="28" w:type="dxa"/>
            </w:tcMar>
            <w:vAlign w:val="center"/>
          </w:tcPr>
          <w:p>
            <w:pPr>
              <w:pStyle w:val="12"/>
              <w:rPr>
                <w:rFonts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53" w:type="dxa"/>
            <w:vMerge w:val="continue"/>
            <w:tcMar>
              <w:top w:w="28" w:type="dxa"/>
              <w:left w:w="28" w:type="dxa"/>
              <w:bottom w:w="28" w:type="dxa"/>
              <w:right w:w="28" w:type="dxa"/>
            </w:tcMar>
            <w:vAlign w:val="center"/>
          </w:tcPr>
          <w:p>
            <w:pPr>
              <w:pStyle w:val="12"/>
              <w:rPr>
                <w:rFonts w:ascii="Times New Roman" w:hAnsi="Times New Roman" w:cs="Times New Roman"/>
              </w:rPr>
            </w:pPr>
          </w:p>
        </w:tc>
        <w:tc>
          <w:tcPr>
            <w:tcW w:w="761" w:type="dxa"/>
            <w:tcMar>
              <w:top w:w="28" w:type="dxa"/>
              <w:left w:w="28" w:type="dxa"/>
              <w:bottom w:w="28" w:type="dxa"/>
              <w:right w:w="28" w:type="dxa"/>
            </w:tcMar>
            <w:vAlign w:val="center"/>
          </w:tcPr>
          <w:p>
            <w:pPr>
              <w:pStyle w:val="12"/>
              <w:rPr>
                <w:rFonts w:ascii="Times New Roman" w:hAnsi="Times New Roman" w:cs="Times New Roman"/>
              </w:rPr>
            </w:pPr>
          </w:p>
        </w:tc>
        <w:tc>
          <w:tcPr>
            <w:tcW w:w="798" w:type="dxa"/>
            <w:tcMar>
              <w:top w:w="28" w:type="dxa"/>
              <w:left w:w="28" w:type="dxa"/>
              <w:bottom w:w="28" w:type="dxa"/>
              <w:right w:w="28" w:type="dxa"/>
            </w:tcMar>
            <w:vAlign w:val="center"/>
          </w:tcPr>
          <w:p>
            <w:pPr>
              <w:pStyle w:val="12"/>
              <w:rPr>
                <w:rFonts w:ascii="Times New Roman" w:hAnsi="Times New Roman" w:cs="Times New Roman"/>
              </w:rPr>
            </w:pPr>
          </w:p>
        </w:tc>
        <w:tc>
          <w:tcPr>
            <w:tcW w:w="1559" w:type="dxa"/>
            <w:tcMar>
              <w:top w:w="28" w:type="dxa"/>
              <w:left w:w="28" w:type="dxa"/>
              <w:bottom w:w="28" w:type="dxa"/>
              <w:right w:w="28" w:type="dxa"/>
            </w:tcMar>
            <w:vAlign w:val="center"/>
          </w:tcPr>
          <w:p>
            <w:pPr>
              <w:pStyle w:val="12"/>
              <w:rPr>
                <w:rFonts w:ascii="Times New Roman" w:hAnsi="Times New Roman" w:cs="Times New Roman"/>
              </w:rPr>
            </w:pPr>
          </w:p>
        </w:tc>
        <w:tc>
          <w:tcPr>
            <w:tcW w:w="1559" w:type="dxa"/>
            <w:tcMar>
              <w:top w:w="28" w:type="dxa"/>
              <w:left w:w="28" w:type="dxa"/>
              <w:bottom w:w="28" w:type="dxa"/>
              <w:right w:w="28" w:type="dxa"/>
            </w:tcMar>
            <w:vAlign w:val="center"/>
          </w:tcPr>
          <w:p>
            <w:pPr>
              <w:pStyle w:val="12"/>
              <w:rPr>
                <w:rFonts w:ascii="Times New Roman" w:hAnsi="Times New Roman" w:cs="Times New Roman"/>
              </w:rPr>
            </w:pPr>
          </w:p>
        </w:tc>
        <w:tc>
          <w:tcPr>
            <w:tcW w:w="2696" w:type="dxa"/>
            <w:tcMar>
              <w:top w:w="28" w:type="dxa"/>
              <w:left w:w="28" w:type="dxa"/>
              <w:bottom w:w="28" w:type="dxa"/>
              <w:right w:w="28" w:type="dxa"/>
            </w:tcMar>
            <w:vAlign w:val="center"/>
          </w:tcPr>
          <w:p>
            <w:pPr>
              <w:pStyle w:val="12"/>
              <w:rPr>
                <w:rFonts w:ascii="Times New Roman" w:hAnsi="Times New Roman" w:cs="Times New Roman"/>
              </w:rPr>
            </w:pPr>
          </w:p>
        </w:tc>
        <w:tc>
          <w:tcPr>
            <w:tcW w:w="1300" w:type="dxa"/>
            <w:tcMar>
              <w:top w:w="28" w:type="dxa"/>
              <w:left w:w="28" w:type="dxa"/>
              <w:bottom w:w="28" w:type="dxa"/>
              <w:right w:w="28" w:type="dxa"/>
            </w:tcMar>
            <w:vAlign w:val="center"/>
          </w:tcPr>
          <w:p>
            <w:pPr>
              <w:pStyle w:val="12"/>
              <w:rPr>
                <w:rFonts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53" w:type="dxa"/>
            <w:vMerge w:val="continue"/>
            <w:tcMar>
              <w:top w:w="28" w:type="dxa"/>
              <w:left w:w="28" w:type="dxa"/>
              <w:bottom w:w="28" w:type="dxa"/>
              <w:right w:w="28" w:type="dxa"/>
            </w:tcMar>
            <w:vAlign w:val="center"/>
          </w:tcPr>
          <w:p>
            <w:pPr>
              <w:pStyle w:val="12"/>
              <w:rPr>
                <w:rFonts w:ascii="Times New Roman" w:hAnsi="Times New Roman" w:cs="Times New Roman"/>
              </w:rPr>
            </w:pPr>
          </w:p>
        </w:tc>
        <w:tc>
          <w:tcPr>
            <w:tcW w:w="761" w:type="dxa"/>
            <w:tcMar>
              <w:top w:w="28" w:type="dxa"/>
              <w:left w:w="28" w:type="dxa"/>
              <w:bottom w:w="28" w:type="dxa"/>
              <w:right w:w="28" w:type="dxa"/>
            </w:tcMar>
            <w:vAlign w:val="center"/>
          </w:tcPr>
          <w:p>
            <w:pPr>
              <w:pStyle w:val="12"/>
              <w:rPr>
                <w:rFonts w:ascii="Times New Roman" w:hAnsi="Times New Roman" w:cs="Times New Roman"/>
              </w:rPr>
            </w:pPr>
          </w:p>
        </w:tc>
        <w:tc>
          <w:tcPr>
            <w:tcW w:w="798" w:type="dxa"/>
            <w:tcMar>
              <w:top w:w="28" w:type="dxa"/>
              <w:left w:w="28" w:type="dxa"/>
              <w:bottom w:w="28" w:type="dxa"/>
              <w:right w:w="28" w:type="dxa"/>
            </w:tcMar>
            <w:vAlign w:val="center"/>
          </w:tcPr>
          <w:p>
            <w:pPr>
              <w:pStyle w:val="12"/>
              <w:rPr>
                <w:rFonts w:ascii="Times New Roman" w:hAnsi="Times New Roman" w:cs="Times New Roman"/>
              </w:rPr>
            </w:pPr>
          </w:p>
        </w:tc>
        <w:tc>
          <w:tcPr>
            <w:tcW w:w="1559" w:type="dxa"/>
            <w:tcMar>
              <w:top w:w="28" w:type="dxa"/>
              <w:left w:w="28" w:type="dxa"/>
              <w:bottom w:w="28" w:type="dxa"/>
              <w:right w:w="28" w:type="dxa"/>
            </w:tcMar>
            <w:vAlign w:val="center"/>
          </w:tcPr>
          <w:p>
            <w:pPr>
              <w:pStyle w:val="12"/>
              <w:rPr>
                <w:rFonts w:ascii="Times New Roman" w:hAnsi="Times New Roman" w:cs="Times New Roman"/>
              </w:rPr>
            </w:pPr>
          </w:p>
        </w:tc>
        <w:tc>
          <w:tcPr>
            <w:tcW w:w="1559" w:type="dxa"/>
            <w:tcMar>
              <w:top w:w="28" w:type="dxa"/>
              <w:left w:w="28" w:type="dxa"/>
              <w:bottom w:w="28" w:type="dxa"/>
              <w:right w:w="28" w:type="dxa"/>
            </w:tcMar>
            <w:vAlign w:val="center"/>
          </w:tcPr>
          <w:p>
            <w:pPr>
              <w:pStyle w:val="12"/>
              <w:rPr>
                <w:rFonts w:ascii="Times New Roman" w:hAnsi="Times New Roman" w:cs="Times New Roman"/>
              </w:rPr>
            </w:pPr>
          </w:p>
        </w:tc>
        <w:tc>
          <w:tcPr>
            <w:tcW w:w="2696" w:type="dxa"/>
            <w:tcMar>
              <w:top w:w="28" w:type="dxa"/>
              <w:left w:w="28" w:type="dxa"/>
              <w:bottom w:w="28" w:type="dxa"/>
              <w:right w:w="28" w:type="dxa"/>
            </w:tcMar>
            <w:vAlign w:val="center"/>
          </w:tcPr>
          <w:p>
            <w:pPr>
              <w:pStyle w:val="12"/>
              <w:rPr>
                <w:rFonts w:ascii="Times New Roman" w:hAnsi="Times New Roman" w:cs="Times New Roman"/>
              </w:rPr>
            </w:pPr>
          </w:p>
        </w:tc>
        <w:tc>
          <w:tcPr>
            <w:tcW w:w="1300" w:type="dxa"/>
            <w:tcMar>
              <w:top w:w="28" w:type="dxa"/>
              <w:left w:w="28" w:type="dxa"/>
              <w:bottom w:w="28" w:type="dxa"/>
              <w:right w:w="28" w:type="dxa"/>
            </w:tcMar>
            <w:vAlign w:val="center"/>
          </w:tcPr>
          <w:p>
            <w:pPr>
              <w:pStyle w:val="12"/>
              <w:rPr>
                <w:rFonts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53" w:type="dxa"/>
            <w:vMerge w:val="continue"/>
            <w:tcMar>
              <w:top w:w="28" w:type="dxa"/>
              <w:left w:w="28" w:type="dxa"/>
              <w:bottom w:w="28" w:type="dxa"/>
              <w:right w:w="28" w:type="dxa"/>
            </w:tcMar>
            <w:vAlign w:val="center"/>
          </w:tcPr>
          <w:p>
            <w:pPr>
              <w:pStyle w:val="12"/>
              <w:rPr>
                <w:rFonts w:ascii="Times New Roman" w:hAnsi="Times New Roman" w:cs="Times New Roman"/>
              </w:rPr>
            </w:pPr>
          </w:p>
        </w:tc>
        <w:tc>
          <w:tcPr>
            <w:tcW w:w="761" w:type="dxa"/>
            <w:tcMar>
              <w:top w:w="28" w:type="dxa"/>
              <w:left w:w="28" w:type="dxa"/>
              <w:bottom w:w="28" w:type="dxa"/>
              <w:right w:w="28" w:type="dxa"/>
            </w:tcMar>
            <w:vAlign w:val="center"/>
          </w:tcPr>
          <w:p>
            <w:pPr>
              <w:pStyle w:val="12"/>
              <w:rPr>
                <w:rFonts w:ascii="Times New Roman" w:hAnsi="Times New Roman" w:cs="Times New Roman"/>
              </w:rPr>
            </w:pPr>
          </w:p>
        </w:tc>
        <w:tc>
          <w:tcPr>
            <w:tcW w:w="798" w:type="dxa"/>
            <w:tcMar>
              <w:top w:w="28" w:type="dxa"/>
              <w:left w:w="28" w:type="dxa"/>
              <w:bottom w:w="28" w:type="dxa"/>
              <w:right w:w="28" w:type="dxa"/>
            </w:tcMar>
            <w:vAlign w:val="center"/>
          </w:tcPr>
          <w:p>
            <w:pPr>
              <w:pStyle w:val="12"/>
              <w:rPr>
                <w:rFonts w:ascii="Times New Roman" w:hAnsi="Times New Roman" w:cs="Times New Roman"/>
              </w:rPr>
            </w:pPr>
          </w:p>
        </w:tc>
        <w:tc>
          <w:tcPr>
            <w:tcW w:w="1559" w:type="dxa"/>
            <w:tcMar>
              <w:top w:w="28" w:type="dxa"/>
              <w:left w:w="28" w:type="dxa"/>
              <w:bottom w:w="28" w:type="dxa"/>
              <w:right w:w="28" w:type="dxa"/>
            </w:tcMar>
            <w:vAlign w:val="center"/>
          </w:tcPr>
          <w:p>
            <w:pPr>
              <w:pStyle w:val="12"/>
              <w:rPr>
                <w:rFonts w:ascii="Times New Roman" w:hAnsi="Times New Roman" w:cs="Times New Roman"/>
              </w:rPr>
            </w:pPr>
          </w:p>
        </w:tc>
        <w:tc>
          <w:tcPr>
            <w:tcW w:w="1559" w:type="dxa"/>
            <w:tcMar>
              <w:top w:w="28" w:type="dxa"/>
              <w:left w:w="28" w:type="dxa"/>
              <w:bottom w:w="28" w:type="dxa"/>
              <w:right w:w="28" w:type="dxa"/>
            </w:tcMar>
            <w:vAlign w:val="center"/>
          </w:tcPr>
          <w:p>
            <w:pPr>
              <w:pStyle w:val="12"/>
              <w:rPr>
                <w:rFonts w:ascii="Times New Roman" w:hAnsi="Times New Roman" w:cs="Times New Roman"/>
              </w:rPr>
            </w:pPr>
          </w:p>
        </w:tc>
        <w:tc>
          <w:tcPr>
            <w:tcW w:w="2696" w:type="dxa"/>
            <w:tcMar>
              <w:top w:w="28" w:type="dxa"/>
              <w:left w:w="28" w:type="dxa"/>
              <w:bottom w:w="28" w:type="dxa"/>
              <w:right w:w="28" w:type="dxa"/>
            </w:tcMar>
            <w:vAlign w:val="center"/>
          </w:tcPr>
          <w:p>
            <w:pPr>
              <w:pStyle w:val="12"/>
              <w:rPr>
                <w:rFonts w:ascii="Times New Roman" w:hAnsi="Times New Roman" w:cs="Times New Roman"/>
              </w:rPr>
            </w:pPr>
          </w:p>
        </w:tc>
        <w:tc>
          <w:tcPr>
            <w:tcW w:w="1300" w:type="dxa"/>
            <w:tcMar>
              <w:top w:w="28" w:type="dxa"/>
              <w:left w:w="28" w:type="dxa"/>
              <w:bottom w:w="28" w:type="dxa"/>
              <w:right w:w="28" w:type="dxa"/>
            </w:tcMar>
            <w:vAlign w:val="center"/>
          </w:tcPr>
          <w:p>
            <w:pPr>
              <w:pStyle w:val="12"/>
              <w:rPr>
                <w:rFonts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53" w:type="dxa"/>
            <w:vMerge w:val="continue"/>
            <w:tcMar>
              <w:top w:w="28" w:type="dxa"/>
              <w:left w:w="28" w:type="dxa"/>
              <w:bottom w:w="28" w:type="dxa"/>
              <w:right w:w="28" w:type="dxa"/>
            </w:tcMar>
            <w:vAlign w:val="center"/>
          </w:tcPr>
          <w:p>
            <w:pPr>
              <w:pStyle w:val="12"/>
              <w:rPr>
                <w:rFonts w:ascii="Times New Roman" w:hAnsi="Times New Roman" w:cs="Times New Roman"/>
              </w:rPr>
            </w:pPr>
          </w:p>
        </w:tc>
        <w:tc>
          <w:tcPr>
            <w:tcW w:w="761" w:type="dxa"/>
            <w:tcMar>
              <w:top w:w="28" w:type="dxa"/>
              <w:left w:w="28" w:type="dxa"/>
              <w:bottom w:w="28" w:type="dxa"/>
              <w:right w:w="28" w:type="dxa"/>
            </w:tcMar>
            <w:vAlign w:val="center"/>
          </w:tcPr>
          <w:p>
            <w:pPr>
              <w:pStyle w:val="12"/>
              <w:rPr>
                <w:rFonts w:ascii="Times New Roman" w:hAnsi="Times New Roman" w:cs="Times New Roman"/>
              </w:rPr>
            </w:pPr>
          </w:p>
        </w:tc>
        <w:tc>
          <w:tcPr>
            <w:tcW w:w="798" w:type="dxa"/>
            <w:tcMar>
              <w:top w:w="28" w:type="dxa"/>
              <w:left w:w="28" w:type="dxa"/>
              <w:bottom w:w="28" w:type="dxa"/>
              <w:right w:w="28" w:type="dxa"/>
            </w:tcMar>
            <w:vAlign w:val="center"/>
          </w:tcPr>
          <w:p>
            <w:pPr>
              <w:pStyle w:val="12"/>
              <w:rPr>
                <w:rFonts w:ascii="Times New Roman" w:hAnsi="Times New Roman" w:cs="Times New Roman"/>
              </w:rPr>
            </w:pPr>
          </w:p>
        </w:tc>
        <w:tc>
          <w:tcPr>
            <w:tcW w:w="1559" w:type="dxa"/>
            <w:tcMar>
              <w:top w:w="28" w:type="dxa"/>
              <w:left w:w="28" w:type="dxa"/>
              <w:bottom w:w="28" w:type="dxa"/>
              <w:right w:w="28" w:type="dxa"/>
            </w:tcMar>
            <w:vAlign w:val="center"/>
          </w:tcPr>
          <w:p>
            <w:pPr>
              <w:pStyle w:val="12"/>
              <w:rPr>
                <w:rFonts w:ascii="Times New Roman" w:hAnsi="Times New Roman" w:cs="Times New Roman"/>
              </w:rPr>
            </w:pPr>
          </w:p>
        </w:tc>
        <w:tc>
          <w:tcPr>
            <w:tcW w:w="1559" w:type="dxa"/>
            <w:tcMar>
              <w:top w:w="28" w:type="dxa"/>
              <w:left w:w="28" w:type="dxa"/>
              <w:bottom w:w="28" w:type="dxa"/>
              <w:right w:w="28" w:type="dxa"/>
            </w:tcMar>
            <w:vAlign w:val="center"/>
          </w:tcPr>
          <w:p>
            <w:pPr>
              <w:pStyle w:val="12"/>
              <w:rPr>
                <w:rFonts w:ascii="Times New Roman" w:hAnsi="Times New Roman" w:cs="Times New Roman"/>
              </w:rPr>
            </w:pPr>
          </w:p>
        </w:tc>
        <w:tc>
          <w:tcPr>
            <w:tcW w:w="2696" w:type="dxa"/>
            <w:tcMar>
              <w:top w:w="28" w:type="dxa"/>
              <w:left w:w="28" w:type="dxa"/>
              <w:bottom w:w="28" w:type="dxa"/>
              <w:right w:w="28" w:type="dxa"/>
            </w:tcMar>
            <w:vAlign w:val="center"/>
          </w:tcPr>
          <w:p>
            <w:pPr>
              <w:pStyle w:val="12"/>
              <w:rPr>
                <w:rFonts w:ascii="Times New Roman" w:hAnsi="Times New Roman" w:cs="Times New Roman"/>
              </w:rPr>
            </w:pPr>
          </w:p>
        </w:tc>
        <w:tc>
          <w:tcPr>
            <w:tcW w:w="1300" w:type="dxa"/>
            <w:tcMar>
              <w:top w:w="28" w:type="dxa"/>
              <w:left w:w="28" w:type="dxa"/>
              <w:bottom w:w="28" w:type="dxa"/>
              <w:right w:w="28" w:type="dxa"/>
            </w:tcMar>
            <w:vAlign w:val="center"/>
          </w:tcPr>
          <w:p>
            <w:pPr>
              <w:pStyle w:val="12"/>
              <w:rPr>
                <w:rFonts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53" w:type="dxa"/>
            <w:vMerge w:val="continue"/>
            <w:tcMar>
              <w:top w:w="28" w:type="dxa"/>
              <w:left w:w="28" w:type="dxa"/>
              <w:bottom w:w="28" w:type="dxa"/>
              <w:right w:w="28" w:type="dxa"/>
            </w:tcMar>
            <w:vAlign w:val="center"/>
          </w:tcPr>
          <w:p>
            <w:pPr>
              <w:pStyle w:val="12"/>
              <w:rPr>
                <w:rFonts w:ascii="Times New Roman" w:hAnsi="Times New Roman" w:cs="Times New Roman"/>
              </w:rPr>
            </w:pPr>
          </w:p>
        </w:tc>
        <w:tc>
          <w:tcPr>
            <w:tcW w:w="761" w:type="dxa"/>
            <w:tcMar>
              <w:top w:w="28" w:type="dxa"/>
              <w:left w:w="28" w:type="dxa"/>
              <w:bottom w:w="28" w:type="dxa"/>
              <w:right w:w="28" w:type="dxa"/>
            </w:tcMar>
            <w:vAlign w:val="center"/>
          </w:tcPr>
          <w:p>
            <w:pPr>
              <w:pStyle w:val="12"/>
              <w:rPr>
                <w:rFonts w:ascii="Times New Roman" w:hAnsi="Times New Roman" w:cs="Times New Roman"/>
              </w:rPr>
            </w:pPr>
          </w:p>
        </w:tc>
        <w:tc>
          <w:tcPr>
            <w:tcW w:w="798" w:type="dxa"/>
            <w:tcMar>
              <w:top w:w="28" w:type="dxa"/>
              <w:left w:w="28" w:type="dxa"/>
              <w:bottom w:w="28" w:type="dxa"/>
              <w:right w:w="28" w:type="dxa"/>
            </w:tcMar>
            <w:vAlign w:val="center"/>
          </w:tcPr>
          <w:p>
            <w:pPr>
              <w:pStyle w:val="12"/>
              <w:rPr>
                <w:rFonts w:ascii="Times New Roman" w:hAnsi="Times New Roman" w:cs="Times New Roman"/>
              </w:rPr>
            </w:pPr>
          </w:p>
        </w:tc>
        <w:tc>
          <w:tcPr>
            <w:tcW w:w="1559" w:type="dxa"/>
            <w:tcMar>
              <w:top w:w="28" w:type="dxa"/>
              <w:left w:w="28" w:type="dxa"/>
              <w:bottom w:w="28" w:type="dxa"/>
              <w:right w:w="28" w:type="dxa"/>
            </w:tcMar>
            <w:vAlign w:val="center"/>
          </w:tcPr>
          <w:p>
            <w:pPr>
              <w:pStyle w:val="12"/>
              <w:rPr>
                <w:rFonts w:ascii="Times New Roman" w:hAnsi="Times New Roman" w:cs="Times New Roman"/>
              </w:rPr>
            </w:pPr>
          </w:p>
        </w:tc>
        <w:tc>
          <w:tcPr>
            <w:tcW w:w="1559" w:type="dxa"/>
            <w:tcMar>
              <w:top w:w="28" w:type="dxa"/>
              <w:left w:w="28" w:type="dxa"/>
              <w:bottom w:w="28" w:type="dxa"/>
              <w:right w:w="28" w:type="dxa"/>
            </w:tcMar>
            <w:vAlign w:val="center"/>
          </w:tcPr>
          <w:p>
            <w:pPr>
              <w:pStyle w:val="12"/>
              <w:rPr>
                <w:rFonts w:ascii="Times New Roman" w:hAnsi="Times New Roman" w:cs="Times New Roman"/>
              </w:rPr>
            </w:pPr>
          </w:p>
        </w:tc>
        <w:tc>
          <w:tcPr>
            <w:tcW w:w="2696" w:type="dxa"/>
            <w:tcMar>
              <w:top w:w="28" w:type="dxa"/>
              <w:left w:w="28" w:type="dxa"/>
              <w:bottom w:w="28" w:type="dxa"/>
              <w:right w:w="28" w:type="dxa"/>
            </w:tcMar>
            <w:vAlign w:val="center"/>
          </w:tcPr>
          <w:p>
            <w:pPr>
              <w:pStyle w:val="12"/>
              <w:rPr>
                <w:rFonts w:ascii="Times New Roman" w:hAnsi="Times New Roman" w:cs="Times New Roman"/>
              </w:rPr>
            </w:pPr>
          </w:p>
        </w:tc>
        <w:tc>
          <w:tcPr>
            <w:tcW w:w="1300" w:type="dxa"/>
            <w:tcMar>
              <w:top w:w="28" w:type="dxa"/>
              <w:left w:w="28" w:type="dxa"/>
              <w:bottom w:w="28" w:type="dxa"/>
              <w:right w:w="28" w:type="dxa"/>
            </w:tcMar>
            <w:vAlign w:val="center"/>
          </w:tcPr>
          <w:p>
            <w:pPr>
              <w:pStyle w:val="12"/>
              <w:rPr>
                <w:rFonts w:ascii="Times New Roman" w:hAnsi="Times New Roman" w:cs="Times New Roman"/>
              </w:rPr>
            </w:pPr>
          </w:p>
        </w:tc>
      </w:tr>
    </w:tbl>
    <w:p>
      <w:pPr>
        <w:pStyle w:val="2"/>
        <w:jc w:val="left"/>
        <w:rPr>
          <w:rFonts w:ascii="Times New Roman" w:hAnsi="Times New Roman" w:cs="Times New Roman"/>
        </w:rPr>
      </w:pPr>
      <w:r>
        <w:rPr>
          <w:rFonts w:ascii="Times New Roman" w:hAnsi="Times New Roman" w:cs="Times New Roman"/>
        </w:rPr>
        <w:t>建设项目基本情况</w:t>
      </w:r>
    </w:p>
    <w:tbl>
      <w:tblPr>
        <w:tblStyle w:val="11"/>
        <w:tblW w:w="912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
      <w:tblGrid>
        <w:gridCol w:w="1186"/>
        <w:gridCol w:w="1394"/>
        <w:gridCol w:w="838"/>
        <w:gridCol w:w="68"/>
        <w:gridCol w:w="668"/>
        <w:gridCol w:w="918"/>
        <w:gridCol w:w="75"/>
        <w:gridCol w:w="1128"/>
        <w:gridCol w:w="447"/>
        <w:gridCol w:w="1300"/>
        <w:gridCol w:w="11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trHeight w:val="454" w:hRule="atLeast"/>
          <w:jc w:val="center"/>
        </w:trPr>
        <w:tc>
          <w:tcPr>
            <w:tcW w:w="1186"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项目名称</w:t>
            </w:r>
          </w:p>
        </w:tc>
        <w:tc>
          <w:tcPr>
            <w:tcW w:w="7940" w:type="dxa"/>
            <w:gridSpan w:val="10"/>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国轩南京年产5GWh动力电池系统生产线及配套建设项目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trHeight w:val="454" w:hRule="atLeast"/>
          <w:jc w:val="center"/>
        </w:trPr>
        <w:tc>
          <w:tcPr>
            <w:tcW w:w="1186"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建设单位</w:t>
            </w:r>
          </w:p>
        </w:tc>
        <w:tc>
          <w:tcPr>
            <w:tcW w:w="7940" w:type="dxa"/>
            <w:gridSpan w:val="10"/>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南京国轩新能源有限公司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trHeight w:val="454" w:hRule="atLeast"/>
          <w:jc w:val="center"/>
        </w:trPr>
        <w:tc>
          <w:tcPr>
            <w:tcW w:w="1186"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法人代表</w:t>
            </w:r>
          </w:p>
        </w:tc>
        <w:tc>
          <w:tcPr>
            <w:tcW w:w="3886" w:type="dxa"/>
            <w:gridSpan w:val="5"/>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宋金保</w:t>
            </w:r>
          </w:p>
        </w:tc>
        <w:tc>
          <w:tcPr>
            <w:tcW w:w="1650" w:type="dxa"/>
            <w:gridSpan w:val="3"/>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联系人</w:t>
            </w:r>
          </w:p>
        </w:tc>
        <w:tc>
          <w:tcPr>
            <w:tcW w:w="2404" w:type="dxa"/>
            <w:gridSpan w:val="2"/>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何工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trHeight w:val="454" w:hRule="atLeast"/>
          <w:jc w:val="center"/>
        </w:trPr>
        <w:tc>
          <w:tcPr>
            <w:tcW w:w="1186"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通讯地址</w:t>
            </w:r>
          </w:p>
        </w:tc>
        <w:tc>
          <w:tcPr>
            <w:tcW w:w="7940" w:type="dxa"/>
            <w:gridSpan w:val="10"/>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南京市六合区龙池街道虎跃路19号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trHeight w:val="454" w:hRule="atLeast"/>
          <w:jc w:val="center"/>
        </w:trPr>
        <w:tc>
          <w:tcPr>
            <w:tcW w:w="1186"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联系电话</w:t>
            </w:r>
          </w:p>
        </w:tc>
        <w:tc>
          <w:tcPr>
            <w:tcW w:w="2232" w:type="dxa"/>
            <w:gridSpan w:val="2"/>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025-68722572</w:t>
            </w:r>
          </w:p>
        </w:tc>
        <w:tc>
          <w:tcPr>
            <w:tcW w:w="1654" w:type="dxa"/>
            <w:gridSpan w:val="3"/>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传真</w:t>
            </w:r>
          </w:p>
        </w:tc>
        <w:tc>
          <w:tcPr>
            <w:tcW w:w="1650" w:type="dxa"/>
            <w:gridSpan w:val="3"/>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w:t>
            </w:r>
          </w:p>
        </w:tc>
        <w:tc>
          <w:tcPr>
            <w:tcW w:w="1300"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邮政编码</w:t>
            </w:r>
          </w:p>
        </w:tc>
        <w:tc>
          <w:tcPr>
            <w:tcW w:w="1104"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trHeight w:val="454" w:hRule="atLeast"/>
          <w:jc w:val="center"/>
        </w:trPr>
        <w:tc>
          <w:tcPr>
            <w:tcW w:w="1186"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建设地点</w:t>
            </w:r>
          </w:p>
        </w:tc>
        <w:tc>
          <w:tcPr>
            <w:tcW w:w="7940" w:type="dxa"/>
            <w:gridSpan w:val="10"/>
            <w:tcMar>
              <w:top w:w="28" w:type="dxa"/>
              <w:left w:w="28" w:type="dxa"/>
              <w:bottom w:w="28" w:type="dxa"/>
              <w:right w:w="28" w:type="dxa"/>
            </w:tcMar>
            <w:vAlign w:val="center"/>
          </w:tcPr>
          <w:p>
            <w:pPr>
              <w:snapToGrid w:val="0"/>
              <w:spacing w:line="240" w:lineRule="auto"/>
              <w:ind w:firstLine="0" w:firstLineChars="0"/>
              <w:jc w:val="center"/>
              <w:rPr>
                <w:rFonts w:ascii="Times New Roman" w:hAnsi="Times New Roman" w:cs="Times New Roman"/>
                <w:snapToGrid w:val="0"/>
                <w:kern w:val="0"/>
                <w:sz w:val="21"/>
                <w:szCs w:val="21"/>
              </w:rPr>
            </w:pPr>
            <w:r>
              <w:rPr>
                <w:rFonts w:ascii="Times New Roman" w:hAnsi="Times New Roman" w:cs="Times New Roman"/>
                <w:bCs/>
                <w:sz w:val="21"/>
                <w:szCs w:val="21"/>
              </w:rPr>
              <w:t>南京六合区六新路以北，龙须湖路以东，新港湾路以西，虎跃西路以南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trHeight w:val="454" w:hRule="atLeast"/>
          <w:jc w:val="center"/>
        </w:trPr>
        <w:tc>
          <w:tcPr>
            <w:tcW w:w="1186"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立项</w:t>
            </w:r>
          </w:p>
          <w:p>
            <w:pPr>
              <w:pStyle w:val="12"/>
              <w:spacing w:line="240" w:lineRule="auto"/>
              <w:rPr>
                <w:rFonts w:ascii="Times New Roman" w:hAnsi="Times New Roman" w:cs="Times New Roman"/>
                <w:szCs w:val="21"/>
              </w:rPr>
            </w:pPr>
            <w:r>
              <w:rPr>
                <w:rFonts w:ascii="Times New Roman" w:hAnsi="Times New Roman" w:cs="Times New Roman"/>
                <w:szCs w:val="21"/>
              </w:rPr>
              <w:t>审批部门</w:t>
            </w:r>
          </w:p>
        </w:tc>
        <w:tc>
          <w:tcPr>
            <w:tcW w:w="3961" w:type="dxa"/>
            <w:gridSpan w:val="6"/>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南京市六合区发展和改革局</w:t>
            </w:r>
          </w:p>
        </w:tc>
        <w:tc>
          <w:tcPr>
            <w:tcW w:w="1128"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项目代码</w:t>
            </w:r>
          </w:p>
        </w:tc>
        <w:tc>
          <w:tcPr>
            <w:tcW w:w="2851" w:type="dxa"/>
            <w:gridSpan w:val="3"/>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2018-320116-38-03-506948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trHeight w:val="454" w:hRule="atLeast"/>
          <w:jc w:val="center"/>
        </w:trPr>
        <w:tc>
          <w:tcPr>
            <w:tcW w:w="1186"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建设性质</w:t>
            </w:r>
          </w:p>
        </w:tc>
        <w:tc>
          <w:tcPr>
            <w:tcW w:w="3961" w:type="dxa"/>
            <w:gridSpan w:val="6"/>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新建</w:t>
            </w:r>
            <w:r>
              <w:rPr>
                <w:rFonts w:ascii="Times New Roman" w:hAnsi="Times New Roman" w:cs="Times New Roman"/>
                <w:szCs w:val="21"/>
              </w:rPr>
              <w:sym w:font="Wingdings" w:char="F0FE"/>
            </w:r>
            <w:r>
              <w:rPr>
                <w:rFonts w:ascii="Times New Roman" w:hAnsi="Times New Roman" w:cs="Times New Roman"/>
                <w:szCs w:val="21"/>
              </w:rPr>
              <w:t xml:space="preserve">  改扩建</w:t>
            </w:r>
            <w:r>
              <w:rPr>
                <w:rFonts w:ascii="Times New Roman" w:hAnsi="Times New Roman" w:cs="Times New Roman"/>
                <w:szCs w:val="21"/>
              </w:rPr>
              <w:sym w:font="Wingdings" w:char="F06F"/>
            </w:r>
            <w:r>
              <w:rPr>
                <w:rFonts w:ascii="Times New Roman" w:hAnsi="Times New Roman" w:cs="Times New Roman"/>
                <w:szCs w:val="21"/>
              </w:rPr>
              <w:t xml:space="preserve">  技术改造</w:t>
            </w:r>
            <w:r>
              <w:rPr>
                <w:rFonts w:ascii="Times New Roman" w:hAnsi="Times New Roman" w:cs="Times New Roman"/>
                <w:szCs w:val="21"/>
              </w:rPr>
              <w:sym w:font="Wingdings" w:char="F06F"/>
            </w:r>
          </w:p>
        </w:tc>
        <w:tc>
          <w:tcPr>
            <w:tcW w:w="1128"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行业类别</w:t>
            </w:r>
          </w:p>
          <w:p>
            <w:pPr>
              <w:pStyle w:val="12"/>
              <w:spacing w:line="240" w:lineRule="auto"/>
              <w:rPr>
                <w:rFonts w:ascii="Times New Roman" w:hAnsi="Times New Roman" w:cs="Times New Roman"/>
                <w:szCs w:val="21"/>
              </w:rPr>
            </w:pPr>
            <w:r>
              <w:rPr>
                <w:rFonts w:ascii="Times New Roman" w:hAnsi="Times New Roman" w:cs="Times New Roman"/>
                <w:szCs w:val="21"/>
              </w:rPr>
              <w:t>及代码</w:t>
            </w:r>
          </w:p>
        </w:tc>
        <w:tc>
          <w:tcPr>
            <w:tcW w:w="2851" w:type="dxa"/>
            <w:gridSpan w:val="3"/>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锂离子电池制造</w:t>
            </w:r>
          </w:p>
          <w:p>
            <w:pPr>
              <w:pStyle w:val="12"/>
              <w:spacing w:line="240" w:lineRule="auto"/>
              <w:rPr>
                <w:rFonts w:ascii="Times New Roman" w:hAnsi="Times New Roman" w:cs="Times New Roman"/>
                <w:szCs w:val="21"/>
              </w:rPr>
            </w:pPr>
            <w:r>
              <w:rPr>
                <w:rFonts w:ascii="Times New Roman" w:hAnsi="Times New Roman" w:cs="Times New Roman"/>
                <w:szCs w:val="21"/>
              </w:rPr>
              <w:t>C3841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trHeight w:val="454" w:hRule="atLeast"/>
          <w:jc w:val="center"/>
        </w:trPr>
        <w:tc>
          <w:tcPr>
            <w:tcW w:w="1186"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占地面积</w:t>
            </w:r>
          </w:p>
          <w:p>
            <w:pPr>
              <w:pStyle w:val="12"/>
              <w:spacing w:line="240" w:lineRule="auto"/>
              <w:rPr>
                <w:rFonts w:ascii="Times New Roman" w:hAnsi="Times New Roman" w:cs="Times New Roman"/>
                <w:szCs w:val="21"/>
              </w:rPr>
            </w:pPr>
            <w:r>
              <w:rPr>
                <w:rFonts w:ascii="Times New Roman" w:hAnsi="Times New Roman" w:cs="Times New Roman"/>
                <w:szCs w:val="21"/>
              </w:rPr>
              <w:t>（m</w:t>
            </w:r>
            <w:r>
              <w:rPr>
                <w:rFonts w:ascii="Times New Roman" w:hAnsi="Times New Roman" w:cs="Times New Roman"/>
                <w:szCs w:val="21"/>
                <w:vertAlign w:val="superscript"/>
              </w:rPr>
              <w:t>2</w:t>
            </w:r>
            <w:r>
              <w:rPr>
                <w:rFonts w:ascii="Times New Roman" w:hAnsi="Times New Roman" w:cs="Times New Roman"/>
                <w:szCs w:val="21"/>
              </w:rPr>
              <w:t>）</w:t>
            </w:r>
          </w:p>
        </w:tc>
        <w:tc>
          <w:tcPr>
            <w:tcW w:w="1394"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138000</w:t>
            </w:r>
          </w:p>
        </w:tc>
        <w:tc>
          <w:tcPr>
            <w:tcW w:w="1574" w:type="dxa"/>
            <w:gridSpan w:val="3"/>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建筑面积</w:t>
            </w:r>
          </w:p>
          <w:p>
            <w:pPr>
              <w:pStyle w:val="12"/>
              <w:spacing w:line="240" w:lineRule="auto"/>
              <w:rPr>
                <w:rFonts w:ascii="Times New Roman" w:hAnsi="Times New Roman" w:cs="Times New Roman"/>
                <w:szCs w:val="21"/>
              </w:rPr>
            </w:pPr>
            <w:r>
              <w:rPr>
                <w:rFonts w:ascii="Times New Roman" w:hAnsi="Times New Roman" w:cs="Times New Roman"/>
                <w:szCs w:val="21"/>
              </w:rPr>
              <w:t>（m</w:t>
            </w:r>
            <w:r>
              <w:rPr>
                <w:rFonts w:ascii="Times New Roman" w:hAnsi="Times New Roman" w:cs="Times New Roman"/>
                <w:szCs w:val="21"/>
                <w:vertAlign w:val="superscript"/>
              </w:rPr>
              <w:t>2</w:t>
            </w:r>
            <w:r>
              <w:rPr>
                <w:rFonts w:ascii="Times New Roman" w:hAnsi="Times New Roman" w:cs="Times New Roman"/>
                <w:szCs w:val="21"/>
              </w:rPr>
              <w:t>）</w:t>
            </w:r>
          </w:p>
        </w:tc>
        <w:tc>
          <w:tcPr>
            <w:tcW w:w="993" w:type="dxa"/>
            <w:gridSpan w:val="2"/>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95211</w:t>
            </w:r>
          </w:p>
        </w:tc>
        <w:tc>
          <w:tcPr>
            <w:tcW w:w="1128"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绿化面积</w:t>
            </w:r>
          </w:p>
          <w:p>
            <w:pPr>
              <w:pStyle w:val="12"/>
              <w:spacing w:line="240" w:lineRule="auto"/>
              <w:rPr>
                <w:rFonts w:ascii="Times New Roman" w:hAnsi="Times New Roman" w:cs="Times New Roman"/>
                <w:szCs w:val="21"/>
              </w:rPr>
            </w:pPr>
            <w:r>
              <w:rPr>
                <w:rFonts w:ascii="Times New Roman" w:hAnsi="Times New Roman" w:cs="Times New Roman"/>
                <w:szCs w:val="21"/>
              </w:rPr>
              <w:t>（m</w:t>
            </w:r>
            <w:r>
              <w:rPr>
                <w:rFonts w:ascii="Times New Roman" w:hAnsi="Times New Roman" w:cs="Times New Roman"/>
                <w:szCs w:val="21"/>
                <w:vertAlign w:val="superscript"/>
              </w:rPr>
              <w:t>2</w:t>
            </w:r>
            <w:r>
              <w:rPr>
                <w:rFonts w:ascii="Times New Roman" w:hAnsi="Times New Roman" w:cs="Times New Roman"/>
                <w:szCs w:val="21"/>
              </w:rPr>
              <w:t>）</w:t>
            </w:r>
          </w:p>
        </w:tc>
        <w:tc>
          <w:tcPr>
            <w:tcW w:w="2851" w:type="dxa"/>
            <w:gridSpan w:val="3"/>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trHeight w:val="454" w:hRule="atLeast"/>
          <w:jc w:val="center"/>
        </w:trPr>
        <w:tc>
          <w:tcPr>
            <w:tcW w:w="1186"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总投资</w:t>
            </w:r>
          </w:p>
          <w:p>
            <w:pPr>
              <w:pStyle w:val="12"/>
              <w:spacing w:line="240" w:lineRule="auto"/>
              <w:rPr>
                <w:rFonts w:ascii="Times New Roman" w:hAnsi="Times New Roman" w:cs="Times New Roman"/>
                <w:szCs w:val="21"/>
              </w:rPr>
            </w:pPr>
            <w:r>
              <w:rPr>
                <w:rFonts w:ascii="Times New Roman" w:hAnsi="Times New Roman" w:cs="Times New Roman"/>
                <w:szCs w:val="21"/>
              </w:rPr>
              <w:t>（万元）</w:t>
            </w:r>
          </w:p>
        </w:tc>
        <w:tc>
          <w:tcPr>
            <w:tcW w:w="2300" w:type="dxa"/>
            <w:gridSpan w:val="3"/>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600000</w:t>
            </w:r>
          </w:p>
        </w:tc>
        <w:tc>
          <w:tcPr>
            <w:tcW w:w="1661" w:type="dxa"/>
            <w:gridSpan w:val="3"/>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其中：环保投资（万元）</w:t>
            </w:r>
          </w:p>
        </w:tc>
        <w:tc>
          <w:tcPr>
            <w:tcW w:w="1128"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1880.5</w:t>
            </w:r>
          </w:p>
        </w:tc>
        <w:tc>
          <w:tcPr>
            <w:tcW w:w="1747" w:type="dxa"/>
            <w:gridSpan w:val="2"/>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环保投资占总投资比例</w:t>
            </w:r>
          </w:p>
        </w:tc>
        <w:tc>
          <w:tcPr>
            <w:tcW w:w="1104"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0.31%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trHeight w:val="454" w:hRule="atLeast"/>
          <w:jc w:val="center"/>
        </w:trPr>
        <w:tc>
          <w:tcPr>
            <w:tcW w:w="1186"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评价经费</w:t>
            </w:r>
          </w:p>
          <w:p>
            <w:pPr>
              <w:pStyle w:val="12"/>
              <w:spacing w:line="240" w:lineRule="auto"/>
              <w:rPr>
                <w:rFonts w:ascii="Times New Roman" w:hAnsi="Times New Roman" w:cs="Times New Roman"/>
                <w:szCs w:val="21"/>
              </w:rPr>
            </w:pPr>
            <w:r>
              <w:rPr>
                <w:rFonts w:ascii="Times New Roman" w:hAnsi="Times New Roman" w:cs="Times New Roman"/>
                <w:szCs w:val="21"/>
              </w:rPr>
              <w:t>（万元）</w:t>
            </w:r>
          </w:p>
        </w:tc>
        <w:tc>
          <w:tcPr>
            <w:tcW w:w="3961" w:type="dxa"/>
            <w:gridSpan w:val="6"/>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w:t>
            </w:r>
          </w:p>
        </w:tc>
        <w:tc>
          <w:tcPr>
            <w:tcW w:w="1128"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预计</w:t>
            </w:r>
          </w:p>
          <w:p>
            <w:pPr>
              <w:pStyle w:val="12"/>
              <w:spacing w:line="240" w:lineRule="auto"/>
              <w:rPr>
                <w:rFonts w:ascii="Times New Roman" w:hAnsi="Times New Roman" w:cs="Times New Roman"/>
                <w:szCs w:val="21"/>
              </w:rPr>
            </w:pPr>
            <w:r>
              <w:rPr>
                <w:rFonts w:ascii="Times New Roman" w:hAnsi="Times New Roman" w:cs="Times New Roman"/>
                <w:szCs w:val="21"/>
              </w:rPr>
              <w:t>投产日期</w:t>
            </w:r>
          </w:p>
        </w:tc>
        <w:tc>
          <w:tcPr>
            <w:tcW w:w="2851" w:type="dxa"/>
            <w:gridSpan w:val="3"/>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2019年5月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trHeight w:val="1653" w:hRule="atLeast"/>
          <w:jc w:val="center"/>
        </w:trPr>
        <w:tc>
          <w:tcPr>
            <w:tcW w:w="9126" w:type="dxa"/>
            <w:gridSpan w:val="11"/>
            <w:tcMar>
              <w:top w:w="28" w:type="dxa"/>
              <w:left w:w="28" w:type="dxa"/>
              <w:bottom w:w="28" w:type="dxa"/>
              <w:right w:w="28" w:type="dxa"/>
            </w:tcMar>
          </w:tcPr>
          <w:p>
            <w:pPr>
              <w:spacing w:before="60" w:beforeLines="25" w:after="60" w:afterLines="25" w:line="240" w:lineRule="auto"/>
              <w:ind w:firstLine="0" w:firstLineChars="0"/>
              <w:rPr>
                <w:rFonts w:ascii="Times New Roman" w:hAnsi="Times New Roman" w:cs="Times New Roman"/>
                <w:b/>
              </w:rPr>
            </w:pPr>
            <w:r>
              <w:rPr>
                <w:rFonts w:ascii="Times New Roman" w:hAnsi="Times New Roman" w:cs="Times New Roman"/>
                <w:b/>
              </w:rPr>
              <w:t>原辅材料（包括名称、用量）及主要设施规格、数量（包括锅炉、发电机等）：</w:t>
            </w:r>
          </w:p>
          <w:p>
            <w:pPr>
              <w:spacing w:line="440" w:lineRule="exact"/>
              <w:ind w:firstLine="480"/>
              <w:rPr>
                <w:rFonts w:ascii="Times New Roman" w:hAnsi="Times New Roman" w:cs="Times New Roman"/>
                <w:kern w:val="0"/>
                <w:szCs w:val="24"/>
              </w:rPr>
            </w:pPr>
            <w:r>
              <w:rPr>
                <w:rFonts w:ascii="Times New Roman" w:hAnsi="Times New Roman" w:cs="Times New Roman"/>
                <w:kern w:val="0"/>
                <w:szCs w:val="24"/>
              </w:rPr>
              <w:t>项目使用的原辅材料主要包括镍钴锰酸锂、炭黑、石墨、电解液、隔膜等，名称及其用量等详见表1。</w:t>
            </w:r>
          </w:p>
          <w:p>
            <w:pPr>
              <w:adjustRightInd w:val="0"/>
              <w:snapToGrid w:val="0"/>
              <w:spacing w:line="560" w:lineRule="exact"/>
              <w:ind w:firstLine="0" w:firstLineChars="0"/>
              <w:jc w:val="center"/>
              <w:rPr>
                <w:rFonts w:ascii="Times New Roman" w:hAnsi="Times New Roman" w:eastAsia="黑体" w:cs="Times New Roman"/>
              </w:rPr>
            </w:pPr>
            <w:r>
              <w:rPr>
                <w:rFonts w:ascii="Times New Roman" w:hAnsi="Times New Roman" w:eastAsia="黑体" w:cs="Times New Roman"/>
              </w:rPr>
              <w:t>表1  原辅材料一览表</w:t>
            </w:r>
          </w:p>
          <w:tbl>
            <w:tblPr>
              <w:tblStyle w:val="11"/>
              <w:tblW w:w="9070" w:type="dxa"/>
              <w:jc w:val="center"/>
              <w:tblInd w:w="0" w:type="dxa"/>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283"/>
              <w:gridCol w:w="4339"/>
              <w:gridCol w:w="1282"/>
              <w:gridCol w:w="2166"/>
            </w:tblGrid>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blHeader/>
                <w:jc w:val="center"/>
              </w:trPr>
              <w:tc>
                <w:tcPr>
                  <w:tcW w:w="128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序号</w:t>
                  </w:r>
                </w:p>
              </w:tc>
              <w:tc>
                <w:tcPr>
                  <w:tcW w:w="433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物料名称</w:t>
                  </w:r>
                </w:p>
              </w:tc>
              <w:tc>
                <w:tcPr>
                  <w:tcW w:w="1282"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单位</w:t>
                  </w:r>
                </w:p>
              </w:tc>
              <w:tc>
                <w:tcPr>
                  <w:tcW w:w="2166"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年消耗量</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128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1</w:t>
                  </w:r>
                </w:p>
              </w:tc>
              <w:tc>
                <w:tcPr>
                  <w:tcW w:w="433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镍钴锰酸锂（NI65）</w:t>
                  </w:r>
                </w:p>
              </w:tc>
              <w:tc>
                <w:tcPr>
                  <w:tcW w:w="1282"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t</w:t>
                  </w:r>
                </w:p>
              </w:tc>
              <w:tc>
                <w:tcPr>
                  <w:tcW w:w="2166"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8796.3</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128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2</w:t>
                  </w:r>
                </w:p>
              </w:tc>
              <w:tc>
                <w:tcPr>
                  <w:tcW w:w="433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超导炭黑（正）</w:t>
                  </w:r>
                </w:p>
              </w:tc>
              <w:tc>
                <w:tcPr>
                  <w:tcW w:w="1282"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t</w:t>
                  </w:r>
                </w:p>
              </w:tc>
              <w:tc>
                <w:tcPr>
                  <w:tcW w:w="2166"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209.3</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128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3</w:t>
                  </w:r>
                </w:p>
              </w:tc>
              <w:tc>
                <w:tcPr>
                  <w:tcW w:w="433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导电石墨</w:t>
                  </w:r>
                </w:p>
              </w:tc>
              <w:tc>
                <w:tcPr>
                  <w:tcW w:w="1282"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t</w:t>
                  </w:r>
                </w:p>
              </w:tc>
              <w:tc>
                <w:tcPr>
                  <w:tcW w:w="2166"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51.9</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128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4</w:t>
                  </w:r>
                </w:p>
              </w:tc>
              <w:tc>
                <w:tcPr>
                  <w:tcW w:w="433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超导炭黑（负）</w:t>
                  </w:r>
                </w:p>
              </w:tc>
              <w:tc>
                <w:tcPr>
                  <w:tcW w:w="1282"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t</w:t>
                  </w:r>
                </w:p>
              </w:tc>
              <w:tc>
                <w:tcPr>
                  <w:tcW w:w="2166"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78.9</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128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5</w:t>
                  </w:r>
                </w:p>
              </w:tc>
              <w:tc>
                <w:tcPr>
                  <w:tcW w:w="433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硅碳负极材料</w:t>
                  </w:r>
                </w:p>
              </w:tc>
              <w:tc>
                <w:tcPr>
                  <w:tcW w:w="1282"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t</w:t>
                  </w:r>
                </w:p>
              </w:tc>
              <w:tc>
                <w:tcPr>
                  <w:tcW w:w="2166"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3703.7</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128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6</w:t>
                  </w:r>
                </w:p>
              </w:tc>
              <w:tc>
                <w:tcPr>
                  <w:tcW w:w="433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铝箔</w:t>
                  </w:r>
                </w:p>
              </w:tc>
              <w:tc>
                <w:tcPr>
                  <w:tcW w:w="1282"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t</w:t>
                  </w:r>
                </w:p>
              </w:tc>
              <w:tc>
                <w:tcPr>
                  <w:tcW w:w="2166"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1620.4</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128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7</w:t>
                  </w:r>
                </w:p>
              </w:tc>
              <w:tc>
                <w:tcPr>
                  <w:tcW w:w="433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铜箔</w:t>
                  </w:r>
                </w:p>
              </w:tc>
              <w:tc>
                <w:tcPr>
                  <w:tcW w:w="1282"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t</w:t>
                  </w:r>
                </w:p>
              </w:tc>
              <w:tc>
                <w:tcPr>
                  <w:tcW w:w="2166"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3240.7</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128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8</w:t>
                  </w:r>
                </w:p>
              </w:tc>
              <w:tc>
                <w:tcPr>
                  <w:tcW w:w="433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PVDF</w:t>
                  </w:r>
                </w:p>
              </w:tc>
              <w:tc>
                <w:tcPr>
                  <w:tcW w:w="1282"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t</w:t>
                  </w:r>
                </w:p>
              </w:tc>
              <w:tc>
                <w:tcPr>
                  <w:tcW w:w="2166"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261.1</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128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9</w:t>
                  </w:r>
                </w:p>
              </w:tc>
              <w:tc>
                <w:tcPr>
                  <w:tcW w:w="433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NMP</w:t>
                  </w:r>
                </w:p>
              </w:tc>
              <w:tc>
                <w:tcPr>
                  <w:tcW w:w="1282"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t</w:t>
                  </w:r>
                </w:p>
              </w:tc>
              <w:tc>
                <w:tcPr>
                  <w:tcW w:w="2166"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2314.8</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128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10</w:t>
                  </w:r>
                </w:p>
              </w:tc>
              <w:tc>
                <w:tcPr>
                  <w:tcW w:w="433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电解液</w:t>
                  </w:r>
                </w:p>
              </w:tc>
              <w:tc>
                <w:tcPr>
                  <w:tcW w:w="1282"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t</w:t>
                  </w:r>
                </w:p>
              </w:tc>
              <w:tc>
                <w:tcPr>
                  <w:tcW w:w="2166"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6018.5</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128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11</w:t>
                  </w:r>
                </w:p>
              </w:tc>
              <w:tc>
                <w:tcPr>
                  <w:tcW w:w="433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SBR</w:t>
                  </w:r>
                </w:p>
              </w:tc>
              <w:tc>
                <w:tcPr>
                  <w:tcW w:w="1282"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t</w:t>
                  </w:r>
                </w:p>
              </w:tc>
              <w:tc>
                <w:tcPr>
                  <w:tcW w:w="2166"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138.9</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128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12</w:t>
                  </w:r>
                </w:p>
              </w:tc>
              <w:tc>
                <w:tcPr>
                  <w:tcW w:w="433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CMC</w:t>
                  </w:r>
                </w:p>
              </w:tc>
              <w:tc>
                <w:tcPr>
                  <w:tcW w:w="1282"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t</w:t>
                  </w:r>
                </w:p>
              </w:tc>
              <w:tc>
                <w:tcPr>
                  <w:tcW w:w="2166"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78.7</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128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13</w:t>
                  </w:r>
                </w:p>
              </w:tc>
              <w:tc>
                <w:tcPr>
                  <w:tcW w:w="433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电池箱体及接插件</w:t>
                  </w:r>
                </w:p>
              </w:tc>
              <w:tc>
                <w:tcPr>
                  <w:tcW w:w="1282"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套</w:t>
                  </w:r>
                </w:p>
              </w:tc>
              <w:tc>
                <w:tcPr>
                  <w:tcW w:w="2166"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115740</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128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14</w:t>
                  </w:r>
                </w:p>
              </w:tc>
              <w:tc>
                <w:tcPr>
                  <w:tcW w:w="433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隔膜</w:t>
                  </w:r>
                </w:p>
              </w:tc>
              <w:tc>
                <w:tcPr>
                  <w:tcW w:w="1282"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万㎡</w:t>
                  </w:r>
                </w:p>
              </w:tc>
              <w:tc>
                <w:tcPr>
                  <w:tcW w:w="2166"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6713</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128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15</w:t>
                  </w:r>
                </w:p>
              </w:tc>
              <w:tc>
                <w:tcPr>
                  <w:tcW w:w="433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结构件</w:t>
                  </w:r>
                </w:p>
              </w:tc>
              <w:tc>
                <w:tcPr>
                  <w:tcW w:w="1282"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万个</w:t>
                  </w:r>
                </w:p>
              </w:tc>
              <w:tc>
                <w:tcPr>
                  <w:tcW w:w="2166"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3472</w:t>
                  </w:r>
                </w:p>
              </w:tc>
            </w:tr>
          </w:tbl>
          <w:p>
            <w:pPr>
              <w:spacing w:line="440" w:lineRule="exact"/>
              <w:ind w:firstLine="480"/>
              <w:rPr>
                <w:rFonts w:ascii="Times New Roman" w:hAnsi="Times New Roman" w:cs="Times New Roman"/>
                <w:kern w:val="0"/>
                <w:szCs w:val="24"/>
              </w:rPr>
            </w:pPr>
            <w:r>
              <w:rPr>
                <w:rFonts w:ascii="Times New Roman" w:hAnsi="Times New Roman" w:cs="Times New Roman"/>
                <w:kern w:val="0"/>
                <w:szCs w:val="24"/>
              </w:rPr>
              <w:t>项目使用的主要原辅材料理化性质见表2。</w:t>
            </w:r>
          </w:p>
          <w:p>
            <w:pPr>
              <w:adjustRightInd w:val="0"/>
              <w:snapToGrid w:val="0"/>
              <w:spacing w:line="560" w:lineRule="exact"/>
              <w:ind w:firstLine="0" w:firstLineChars="0"/>
              <w:jc w:val="center"/>
              <w:rPr>
                <w:rFonts w:ascii="Times New Roman" w:hAnsi="Times New Roman" w:eastAsia="黑体" w:cs="Times New Roman"/>
              </w:rPr>
            </w:pPr>
            <w:r>
              <w:rPr>
                <w:rFonts w:ascii="Times New Roman" w:hAnsi="Times New Roman" w:eastAsia="黑体" w:cs="Times New Roman"/>
              </w:rPr>
              <w:t>表2 主要原辅材料的理化性质</w:t>
            </w:r>
          </w:p>
          <w:tbl>
            <w:tblPr>
              <w:tblStyle w:val="11"/>
              <w:tblW w:w="9070"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1" w:type="dxa"/>
                <w:bottom w:w="0" w:type="dxa"/>
                <w:right w:w="11" w:type="dxa"/>
              </w:tblCellMar>
            </w:tblPr>
            <w:tblGrid>
              <w:gridCol w:w="661"/>
              <w:gridCol w:w="1206"/>
              <w:gridCol w:w="7203"/>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1" w:type="dxa"/>
                  <w:bottom w:w="0" w:type="dxa"/>
                  <w:right w:w="11" w:type="dxa"/>
                </w:tblCellMar>
              </w:tblPrEx>
              <w:trPr>
                <w:trHeight w:val="255" w:hRule="atLeast"/>
                <w:jc w:val="center"/>
              </w:trPr>
              <w:tc>
                <w:tcPr>
                  <w:tcW w:w="661"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序号</w:t>
                  </w:r>
                </w:p>
              </w:tc>
              <w:tc>
                <w:tcPr>
                  <w:tcW w:w="1206"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物料名称</w:t>
                  </w:r>
                </w:p>
              </w:tc>
              <w:tc>
                <w:tcPr>
                  <w:tcW w:w="7203"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特性</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1" w:type="dxa"/>
                  <w:bottom w:w="0" w:type="dxa"/>
                  <w:right w:w="11" w:type="dxa"/>
                </w:tblCellMar>
              </w:tblPrEx>
              <w:trPr>
                <w:trHeight w:val="255" w:hRule="atLeast"/>
                <w:jc w:val="center"/>
              </w:trPr>
              <w:tc>
                <w:tcPr>
                  <w:tcW w:w="661" w:type="dxa"/>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w:t>
                  </w:r>
                </w:p>
              </w:tc>
              <w:tc>
                <w:tcPr>
                  <w:tcW w:w="1206" w:type="dxa"/>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PVDF</w:t>
                  </w:r>
                </w:p>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（聚偏氟乙烯）</w:t>
                  </w:r>
                </w:p>
              </w:tc>
              <w:tc>
                <w:tcPr>
                  <w:tcW w:w="7203" w:type="dxa"/>
                  <w:vAlign w:val="center"/>
                </w:tcPr>
                <w:p>
                  <w:pPr>
                    <w:adjustRightInd w:val="0"/>
                    <w:snapToGrid w:val="0"/>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偏氟乙烯均聚物或者偏氟乙烯与其他少量含氟乙烯基单体的共聚物白色粉末状结晶性聚合物。密度1.75g/cm</w:t>
                  </w:r>
                  <w:r>
                    <w:rPr>
                      <w:rFonts w:ascii="Times New Roman" w:hAnsi="Times New Roman" w:cs="Times New Roman"/>
                      <w:sz w:val="21"/>
                      <w:szCs w:val="21"/>
                      <w:vertAlign w:val="superscript"/>
                    </w:rPr>
                    <w:t>3</w:t>
                  </w:r>
                  <w:r>
                    <w:rPr>
                      <w:rFonts w:ascii="Times New Roman" w:hAnsi="Times New Roman" w:cs="Times New Roman"/>
                      <w:sz w:val="21"/>
                      <w:szCs w:val="21"/>
                    </w:rPr>
                    <w:t>。玻璃化温度-39℃，脆化温度-62℃，熔点170℃，热分解温度350℃左右，长期使用温度-40～150℃。</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1" w:type="dxa"/>
                  <w:bottom w:w="0" w:type="dxa"/>
                  <w:right w:w="11" w:type="dxa"/>
                </w:tblCellMar>
              </w:tblPrEx>
              <w:trPr>
                <w:trHeight w:val="255" w:hRule="atLeast"/>
                <w:jc w:val="center"/>
              </w:trPr>
              <w:tc>
                <w:tcPr>
                  <w:tcW w:w="661" w:type="dxa"/>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w:t>
                  </w:r>
                </w:p>
              </w:tc>
              <w:tc>
                <w:tcPr>
                  <w:tcW w:w="1206" w:type="dxa"/>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NMP</w:t>
                  </w:r>
                </w:p>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（N-甲基吡咯烷酮）</w:t>
                  </w:r>
                </w:p>
              </w:tc>
              <w:tc>
                <w:tcPr>
                  <w:tcW w:w="7203" w:type="dxa"/>
                  <w:vAlign w:val="center"/>
                </w:tcPr>
                <w:p>
                  <w:pPr>
                    <w:autoSpaceDE w:val="0"/>
                    <w:autoSpaceDN w:val="0"/>
                    <w:adjustRightInd w:val="0"/>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分子量99.13，相对密度(25℃/4℃)1.0260，凝固点-21.4℃，沸点203℃，闪点95℃，燃点346℃，折射率1.4680，粘度1.65mPa·s，饱和蒸汽压0.29KPa（20℃）。无色透明液体，沸点203℃，闪点95℃。化学稳定性和热稳定性好，极性高，挥发性低，能与水及许多有机溶剂无限混溶等优点。低毒，LD</w:t>
                  </w:r>
                  <w:r>
                    <w:rPr>
                      <w:rFonts w:ascii="Times New Roman" w:hAnsi="Times New Roman" w:cs="Times New Roman"/>
                      <w:sz w:val="21"/>
                      <w:szCs w:val="21"/>
                      <w:vertAlign w:val="subscript"/>
                    </w:rPr>
                    <w:t>50</w:t>
                  </w:r>
                  <w:r>
                    <w:rPr>
                      <w:rFonts w:ascii="Times New Roman" w:hAnsi="Times New Roman" w:cs="Times New Roman"/>
                      <w:sz w:val="21"/>
                      <w:szCs w:val="21"/>
                    </w:rPr>
                    <w:t>7900mg/kg，空气中最高容许浓度100mg/m</w:t>
                  </w:r>
                  <w:r>
                    <w:rPr>
                      <w:rFonts w:ascii="Times New Roman" w:hAnsi="Times New Roman" w:cs="Times New Roman"/>
                      <w:sz w:val="21"/>
                      <w:szCs w:val="21"/>
                      <w:vertAlign w:val="superscript"/>
                    </w:rPr>
                    <w:t>3</w:t>
                  </w:r>
                  <w:r>
                    <w:rPr>
                      <w:rFonts w:ascii="Times New Roman" w:hAnsi="Times New Roman" w:cs="Times New Roman"/>
                      <w:sz w:val="21"/>
                      <w:szCs w:val="21"/>
                    </w:rPr>
                    <w:t>。</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1" w:type="dxa"/>
                  <w:bottom w:w="0" w:type="dxa"/>
                  <w:right w:w="11" w:type="dxa"/>
                </w:tblCellMar>
              </w:tblPrEx>
              <w:trPr>
                <w:trHeight w:val="255" w:hRule="atLeast"/>
                <w:jc w:val="center"/>
              </w:trPr>
              <w:tc>
                <w:tcPr>
                  <w:tcW w:w="661" w:type="dxa"/>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3</w:t>
                  </w:r>
                </w:p>
              </w:tc>
              <w:tc>
                <w:tcPr>
                  <w:tcW w:w="1206"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SBR</w:t>
                  </w:r>
                </w:p>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（水性丁苯橡胶）</w:t>
                  </w:r>
                </w:p>
              </w:tc>
              <w:tc>
                <w:tcPr>
                  <w:tcW w:w="7203" w:type="dxa"/>
                  <w:vAlign w:val="center"/>
                </w:tcPr>
                <w:p>
                  <w:pPr>
                    <w:adjustRightInd w:val="0"/>
                    <w:snapToGrid w:val="0"/>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密度:1.04 g/mL at 25℃，熔点-59℃，综合性能和化学稳定性较好。</w:t>
                  </w:r>
                  <w:r>
                    <w:rPr>
                      <w:rFonts w:ascii="Times New Roman" w:hAnsi="Times New Roman" w:cs="Times New Roman"/>
                      <w:sz w:val="21"/>
                      <w:szCs w:val="21"/>
                      <w:shd w:val="clear" w:color="auto" w:fill="FFFFFF"/>
                    </w:rPr>
                    <w:t>最低耐寒-40℃，最高耐热150℃，一般橡胶最低耐寒为-20℃，最高耐热为100℃。</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1" w:type="dxa"/>
                  <w:bottom w:w="0" w:type="dxa"/>
                  <w:right w:w="11" w:type="dxa"/>
                </w:tblCellMar>
              </w:tblPrEx>
              <w:trPr>
                <w:trHeight w:val="255" w:hRule="atLeast"/>
                <w:jc w:val="center"/>
              </w:trPr>
              <w:tc>
                <w:tcPr>
                  <w:tcW w:w="661" w:type="dxa"/>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4</w:t>
                  </w:r>
                </w:p>
              </w:tc>
              <w:tc>
                <w:tcPr>
                  <w:tcW w:w="1206" w:type="dxa"/>
                  <w:vAlign w:val="center"/>
                </w:tcPr>
                <w:p>
                  <w:pPr>
                    <w:keepNext/>
                    <w:keepLines/>
                    <w:widowControl/>
                    <w:adjustRightInd w:val="0"/>
                    <w:snapToGrid w:val="0"/>
                    <w:ind w:firstLine="0" w:firstLineChars="0"/>
                    <w:jc w:val="center"/>
                    <w:outlineLvl w:val="3"/>
                    <w:rPr>
                      <w:rFonts w:ascii="Times New Roman" w:hAnsi="Times New Roman" w:cs="Times New Roman"/>
                      <w:sz w:val="21"/>
                      <w:szCs w:val="21"/>
                    </w:rPr>
                  </w:pPr>
                  <w:r>
                    <w:rPr>
                      <w:rFonts w:ascii="Times New Roman" w:hAnsi="Times New Roman" w:cs="Times New Roman"/>
                      <w:sz w:val="21"/>
                      <w:szCs w:val="21"/>
                    </w:rPr>
                    <w:t>电解液</w:t>
                  </w:r>
                </w:p>
              </w:tc>
              <w:tc>
                <w:tcPr>
                  <w:tcW w:w="7203" w:type="dxa"/>
                  <w:vAlign w:val="center"/>
                </w:tcPr>
                <w:p>
                  <w:pPr>
                    <w:autoSpaceDE w:val="0"/>
                    <w:autoSpaceDN w:val="0"/>
                    <w:adjustRightInd w:val="0"/>
                    <w:spacing w:line="240" w:lineRule="auto"/>
                    <w:ind w:firstLine="0" w:firstLineChars="0"/>
                    <w:rPr>
                      <w:rFonts w:ascii="Times New Roman" w:hAnsi="Times New Roman" w:cs="Times New Roman"/>
                      <w:kern w:val="0"/>
                      <w:sz w:val="21"/>
                      <w:szCs w:val="21"/>
                    </w:rPr>
                  </w:pPr>
                  <w:r>
                    <w:rPr>
                      <w:rFonts w:ascii="Times New Roman" w:hAnsi="Times New Roman" w:cs="Times New Roman"/>
                      <w:kern w:val="0"/>
                      <w:sz w:val="21"/>
                      <w:szCs w:val="21"/>
                    </w:rPr>
                    <w:t>主要成分有：</w:t>
                  </w:r>
                  <w:r>
                    <w:rPr>
                      <w:rFonts w:hint="eastAsia" w:ascii="宋体" w:hAnsi="宋体" w:eastAsia="宋体" w:cs="宋体"/>
                      <w:kern w:val="0"/>
                      <w:sz w:val="21"/>
                      <w:szCs w:val="21"/>
                    </w:rPr>
                    <w:t>①</w:t>
                  </w:r>
                  <w:r>
                    <w:rPr>
                      <w:rFonts w:ascii="Times New Roman" w:hAnsi="Times New Roman" w:cs="Times New Roman"/>
                      <w:kern w:val="0"/>
                      <w:sz w:val="21"/>
                      <w:szCs w:val="21"/>
                    </w:rPr>
                    <w:t>碳酸乙烯酯，分子式为C</w:t>
                  </w:r>
                  <w:r>
                    <w:rPr>
                      <w:rFonts w:ascii="Times New Roman" w:hAnsi="Times New Roman" w:cs="Times New Roman"/>
                      <w:kern w:val="0"/>
                      <w:sz w:val="21"/>
                      <w:szCs w:val="21"/>
                      <w:vertAlign w:val="subscript"/>
                    </w:rPr>
                    <w:t>3</w:t>
                  </w:r>
                  <w:r>
                    <w:rPr>
                      <w:rFonts w:ascii="Times New Roman" w:hAnsi="Times New Roman" w:cs="Times New Roman"/>
                      <w:kern w:val="0"/>
                      <w:sz w:val="21"/>
                      <w:szCs w:val="21"/>
                    </w:rPr>
                    <w:t>H</w:t>
                  </w:r>
                  <w:r>
                    <w:rPr>
                      <w:rFonts w:ascii="Times New Roman" w:hAnsi="Times New Roman" w:cs="Times New Roman"/>
                      <w:kern w:val="0"/>
                      <w:sz w:val="21"/>
                      <w:szCs w:val="21"/>
                      <w:vertAlign w:val="subscript"/>
                    </w:rPr>
                    <w:t>4</w:t>
                  </w:r>
                  <w:r>
                    <w:rPr>
                      <w:rFonts w:ascii="Times New Roman" w:hAnsi="Times New Roman" w:cs="Times New Roman"/>
                      <w:kern w:val="0"/>
                      <w:sz w:val="21"/>
                      <w:szCs w:val="21"/>
                    </w:rPr>
                    <w:t>O</w:t>
                  </w:r>
                  <w:r>
                    <w:rPr>
                      <w:rFonts w:ascii="Times New Roman" w:hAnsi="Times New Roman" w:cs="Times New Roman"/>
                      <w:kern w:val="0"/>
                      <w:sz w:val="21"/>
                      <w:szCs w:val="21"/>
                      <w:vertAlign w:val="subscript"/>
                    </w:rPr>
                    <w:t>3</w:t>
                  </w:r>
                  <w:r>
                    <w:rPr>
                      <w:rFonts w:ascii="Times New Roman" w:hAnsi="Times New Roman" w:cs="Times New Roman"/>
                      <w:kern w:val="0"/>
                      <w:sz w:val="21"/>
                      <w:szCs w:val="21"/>
                    </w:rPr>
                    <w:t>，透明无色液体(&gt;35℃)，室温时为结晶固体，沸点：248℃/760mmHg，243-244℃/740mmHg；闪点：160℃；密度：1.3218；折光率：1.4158(50℃)；熔点：35-38℃。</w:t>
                  </w:r>
                  <w:r>
                    <w:rPr>
                      <w:rFonts w:hint="eastAsia" w:ascii="宋体" w:hAnsi="宋体" w:eastAsia="宋体" w:cs="宋体"/>
                      <w:kern w:val="0"/>
                      <w:sz w:val="21"/>
                      <w:szCs w:val="21"/>
                    </w:rPr>
                    <w:t>②</w:t>
                  </w:r>
                  <w:r>
                    <w:rPr>
                      <w:rFonts w:ascii="Times New Roman" w:hAnsi="Times New Roman" w:cs="Times New Roman"/>
                      <w:kern w:val="0"/>
                      <w:sz w:val="21"/>
                      <w:szCs w:val="21"/>
                    </w:rPr>
                    <w:t>碳酸丙烯酯：分子式：C</w:t>
                  </w:r>
                  <w:r>
                    <w:rPr>
                      <w:rFonts w:ascii="Times New Roman" w:hAnsi="Times New Roman" w:cs="Times New Roman"/>
                      <w:kern w:val="0"/>
                      <w:sz w:val="21"/>
                      <w:szCs w:val="21"/>
                      <w:vertAlign w:val="subscript"/>
                    </w:rPr>
                    <w:t>4</w:t>
                  </w:r>
                  <w:r>
                    <w:rPr>
                      <w:rFonts w:ascii="Times New Roman" w:hAnsi="Times New Roman" w:cs="Times New Roman"/>
                      <w:kern w:val="0"/>
                      <w:sz w:val="21"/>
                      <w:szCs w:val="21"/>
                    </w:rPr>
                    <w:t>H</w:t>
                  </w:r>
                  <w:r>
                    <w:rPr>
                      <w:rFonts w:ascii="Times New Roman" w:hAnsi="Times New Roman" w:cs="Times New Roman"/>
                      <w:kern w:val="0"/>
                      <w:sz w:val="21"/>
                      <w:szCs w:val="21"/>
                      <w:vertAlign w:val="subscript"/>
                    </w:rPr>
                    <w:t>6</w:t>
                  </w:r>
                  <w:r>
                    <w:rPr>
                      <w:rFonts w:ascii="Times New Roman" w:hAnsi="Times New Roman" w:cs="Times New Roman"/>
                      <w:kern w:val="0"/>
                      <w:sz w:val="21"/>
                      <w:szCs w:val="21"/>
                    </w:rPr>
                    <w:t>O</w:t>
                  </w:r>
                  <w:r>
                    <w:rPr>
                      <w:rFonts w:ascii="Times New Roman" w:hAnsi="Times New Roman" w:cs="Times New Roman"/>
                      <w:kern w:val="0"/>
                      <w:sz w:val="21"/>
                      <w:szCs w:val="21"/>
                      <w:vertAlign w:val="subscript"/>
                    </w:rPr>
                    <w:t>3</w:t>
                  </w:r>
                  <w:r>
                    <w:rPr>
                      <w:rFonts w:ascii="Times New Roman" w:hAnsi="Times New Roman" w:cs="Times New Roman"/>
                      <w:kern w:val="0"/>
                      <w:sz w:val="21"/>
                      <w:szCs w:val="21"/>
                    </w:rPr>
                    <w:t>，分子量102，无色无气味，或淡黄色透明液体，熔点-48.8℃，沸点242℃，闪点132℃。</w:t>
                  </w:r>
                  <w:r>
                    <w:rPr>
                      <w:rFonts w:hint="eastAsia" w:ascii="宋体" w:hAnsi="宋体" w:eastAsia="宋体" w:cs="宋体"/>
                      <w:kern w:val="0"/>
                      <w:sz w:val="21"/>
                      <w:szCs w:val="21"/>
                    </w:rPr>
                    <w:t>③</w:t>
                  </w:r>
                  <w:r>
                    <w:rPr>
                      <w:rFonts w:ascii="Times New Roman" w:hAnsi="Times New Roman" w:cs="Times New Roman"/>
                      <w:kern w:val="0"/>
                      <w:sz w:val="21"/>
                      <w:szCs w:val="21"/>
                    </w:rPr>
                    <w:t>碳酸二甲酯，分子式C</w:t>
                  </w:r>
                  <w:r>
                    <w:rPr>
                      <w:rFonts w:ascii="Times New Roman" w:hAnsi="Times New Roman" w:cs="Times New Roman"/>
                      <w:kern w:val="0"/>
                      <w:sz w:val="21"/>
                      <w:szCs w:val="21"/>
                      <w:vertAlign w:val="subscript"/>
                    </w:rPr>
                    <w:t>3</w:t>
                  </w:r>
                  <w:r>
                    <w:rPr>
                      <w:rFonts w:ascii="Times New Roman" w:hAnsi="Times New Roman" w:cs="Times New Roman"/>
                      <w:kern w:val="0"/>
                      <w:sz w:val="21"/>
                      <w:szCs w:val="21"/>
                    </w:rPr>
                    <w:t>H</w:t>
                  </w:r>
                  <w:r>
                    <w:rPr>
                      <w:rFonts w:ascii="Times New Roman" w:hAnsi="Times New Roman" w:cs="Times New Roman"/>
                      <w:kern w:val="0"/>
                      <w:sz w:val="21"/>
                      <w:szCs w:val="21"/>
                      <w:vertAlign w:val="subscript"/>
                    </w:rPr>
                    <w:t>6</w:t>
                  </w:r>
                  <w:r>
                    <w:rPr>
                      <w:rFonts w:ascii="Times New Roman" w:hAnsi="Times New Roman" w:cs="Times New Roman"/>
                      <w:kern w:val="0"/>
                      <w:sz w:val="21"/>
                      <w:szCs w:val="21"/>
                    </w:rPr>
                    <w:t>O</w:t>
                  </w:r>
                  <w:r>
                    <w:rPr>
                      <w:rFonts w:ascii="Times New Roman" w:hAnsi="Times New Roman" w:cs="Times New Roman"/>
                      <w:kern w:val="0"/>
                      <w:sz w:val="21"/>
                      <w:szCs w:val="21"/>
                      <w:vertAlign w:val="subscript"/>
                    </w:rPr>
                    <w:t>3</w:t>
                  </w:r>
                  <w:r>
                    <w:rPr>
                      <w:rFonts w:ascii="Times New Roman" w:hAnsi="Times New Roman" w:cs="Times New Roman"/>
                      <w:kern w:val="0"/>
                      <w:sz w:val="21"/>
                      <w:szCs w:val="21"/>
                    </w:rPr>
                    <w:t>，简称DMC，分子量90.07，熔点4℃，沸点90.1℃，密度1.069g/cm</w:t>
                  </w:r>
                  <w:r>
                    <w:rPr>
                      <w:rFonts w:ascii="Times New Roman" w:hAnsi="Times New Roman" w:cs="Times New Roman"/>
                      <w:kern w:val="0"/>
                      <w:sz w:val="21"/>
                      <w:szCs w:val="21"/>
                      <w:vertAlign w:val="superscript"/>
                    </w:rPr>
                    <w:t>3</w:t>
                  </w:r>
                  <w:r>
                    <w:rPr>
                      <w:rFonts w:ascii="Times New Roman" w:hAnsi="Times New Roman" w:cs="Times New Roman"/>
                      <w:kern w:val="0"/>
                      <w:sz w:val="21"/>
                      <w:szCs w:val="21"/>
                    </w:rPr>
                    <w:t xml:space="preserve">，难溶于水。 </w:t>
                  </w:r>
                  <w:r>
                    <w:rPr>
                      <w:rFonts w:hint="eastAsia" w:ascii="宋体" w:hAnsi="宋体" w:eastAsia="宋体" w:cs="宋体"/>
                      <w:kern w:val="0"/>
                      <w:sz w:val="21"/>
                      <w:szCs w:val="21"/>
                    </w:rPr>
                    <w:t>④</w:t>
                  </w:r>
                  <w:r>
                    <w:rPr>
                      <w:rFonts w:ascii="Times New Roman" w:hAnsi="Times New Roman" w:cs="Times New Roman"/>
                      <w:kern w:val="0"/>
                      <w:sz w:val="21"/>
                      <w:szCs w:val="21"/>
                    </w:rPr>
                    <w:t>碳酸甲乙酯，分子量为104.1，密度1.00g/cm</w:t>
                  </w:r>
                  <w:r>
                    <w:rPr>
                      <w:rFonts w:ascii="Times New Roman" w:hAnsi="Times New Roman" w:cs="Times New Roman"/>
                      <w:kern w:val="0"/>
                      <w:sz w:val="21"/>
                      <w:szCs w:val="21"/>
                      <w:vertAlign w:val="superscript"/>
                    </w:rPr>
                    <w:t>3</w:t>
                  </w:r>
                  <w:r>
                    <w:rPr>
                      <w:rFonts w:ascii="Times New Roman" w:hAnsi="Times New Roman" w:cs="Times New Roman"/>
                      <w:kern w:val="0"/>
                      <w:sz w:val="21"/>
                      <w:szCs w:val="21"/>
                    </w:rPr>
                    <w:t>，无色透明液体，沸点109℃，熔点-55℃。</w:t>
                  </w:r>
                  <w:r>
                    <w:rPr>
                      <w:rFonts w:hint="eastAsia" w:ascii="宋体" w:hAnsi="宋体" w:eastAsia="宋体" w:cs="宋体"/>
                      <w:kern w:val="0"/>
                      <w:sz w:val="21"/>
                      <w:szCs w:val="21"/>
                    </w:rPr>
                    <w:t>⑤</w:t>
                  </w:r>
                  <w:r>
                    <w:rPr>
                      <w:rFonts w:ascii="Times New Roman" w:hAnsi="Times New Roman" w:cs="Times New Roman"/>
                      <w:kern w:val="0"/>
                      <w:sz w:val="21"/>
                      <w:szCs w:val="21"/>
                    </w:rPr>
                    <w:t>六氟磷酸锂，白色结晶或粉末，相对密度1.50。</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1" w:type="dxa"/>
                  <w:bottom w:w="0" w:type="dxa"/>
                  <w:right w:w="11" w:type="dxa"/>
                </w:tblCellMar>
              </w:tblPrEx>
              <w:trPr>
                <w:trHeight w:val="255" w:hRule="atLeast"/>
                <w:jc w:val="center"/>
              </w:trPr>
              <w:tc>
                <w:tcPr>
                  <w:tcW w:w="661" w:type="dxa"/>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5</w:t>
                  </w:r>
                </w:p>
              </w:tc>
              <w:tc>
                <w:tcPr>
                  <w:tcW w:w="1206" w:type="dxa"/>
                  <w:vAlign w:val="center"/>
                </w:tcPr>
                <w:p>
                  <w:pPr>
                    <w:keepNext/>
                    <w:keepLines/>
                    <w:widowControl/>
                    <w:adjustRightInd w:val="0"/>
                    <w:snapToGrid w:val="0"/>
                    <w:spacing w:line="240" w:lineRule="auto"/>
                    <w:ind w:firstLine="0" w:firstLineChars="0"/>
                    <w:jc w:val="center"/>
                    <w:outlineLvl w:val="3"/>
                    <w:rPr>
                      <w:rFonts w:ascii="Times New Roman" w:hAnsi="Times New Roman" w:cs="Times New Roman"/>
                      <w:sz w:val="21"/>
                      <w:szCs w:val="21"/>
                    </w:rPr>
                  </w:pPr>
                  <w:r>
                    <w:rPr>
                      <w:rFonts w:ascii="Times New Roman" w:hAnsi="Times New Roman" w:cs="Times New Roman"/>
                      <w:sz w:val="21"/>
                      <w:szCs w:val="21"/>
                    </w:rPr>
                    <w:t>羧甲基纤维素钠(CMC)</w:t>
                  </w:r>
                </w:p>
              </w:tc>
              <w:tc>
                <w:tcPr>
                  <w:tcW w:w="7203" w:type="dxa"/>
                  <w:vAlign w:val="center"/>
                </w:tcPr>
                <w:p>
                  <w:pPr>
                    <w:autoSpaceDE w:val="0"/>
                    <w:autoSpaceDN w:val="0"/>
                    <w:adjustRightInd w:val="0"/>
                    <w:snapToGrid w:val="0"/>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白色或乳白色纤维状粉末或颗粒，密度0.5-0.7g/cm</w:t>
                  </w:r>
                  <w:r>
                    <w:rPr>
                      <w:rFonts w:ascii="Times New Roman" w:hAnsi="Times New Roman" w:cs="Times New Roman"/>
                      <w:sz w:val="21"/>
                      <w:szCs w:val="21"/>
                      <w:vertAlign w:val="superscript"/>
                    </w:rPr>
                    <w:t>3</w:t>
                  </w:r>
                  <w:r>
                    <w:rPr>
                      <w:rFonts w:ascii="Times New Roman" w:hAnsi="Times New Roman" w:cs="Times New Roman"/>
                      <w:sz w:val="21"/>
                      <w:szCs w:val="21"/>
                    </w:rPr>
                    <w:t>，易于分散在水中成透明胶状溶液，在乙醇等有机溶媒中不溶。</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1" w:type="dxa"/>
                  <w:bottom w:w="0" w:type="dxa"/>
                  <w:right w:w="11" w:type="dxa"/>
                </w:tblCellMar>
              </w:tblPrEx>
              <w:trPr>
                <w:trHeight w:val="255" w:hRule="atLeast"/>
                <w:jc w:val="center"/>
              </w:trPr>
              <w:tc>
                <w:tcPr>
                  <w:tcW w:w="661" w:type="dxa"/>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6</w:t>
                  </w:r>
                </w:p>
              </w:tc>
              <w:tc>
                <w:tcPr>
                  <w:tcW w:w="1206" w:type="dxa"/>
                  <w:vAlign w:val="center"/>
                </w:tcPr>
                <w:p>
                  <w:pPr>
                    <w:keepNext/>
                    <w:keepLines/>
                    <w:widowControl/>
                    <w:adjustRightInd w:val="0"/>
                    <w:snapToGrid w:val="0"/>
                    <w:spacing w:line="240" w:lineRule="auto"/>
                    <w:ind w:firstLine="0" w:firstLineChars="0"/>
                    <w:jc w:val="center"/>
                    <w:outlineLvl w:val="3"/>
                    <w:rPr>
                      <w:rFonts w:ascii="Times New Roman" w:hAnsi="Times New Roman" w:cs="Times New Roman"/>
                      <w:sz w:val="21"/>
                      <w:szCs w:val="21"/>
                    </w:rPr>
                  </w:pPr>
                  <w:r>
                    <w:rPr>
                      <w:rFonts w:ascii="Times New Roman" w:hAnsi="Times New Roman" w:cs="Times New Roman"/>
                      <w:sz w:val="21"/>
                      <w:szCs w:val="21"/>
                    </w:rPr>
                    <w:t>镍钴锰酸锂</w:t>
                  </w:r>
                </w:p>
              </w:tc>
              <w:tc>
                <w:tcPr>
                  <w:tcW w:w="7203" w:type="dxa"/>
                  <w:vAlign w:val="center"/>
                </w:tcPr>
                <w:p>
                  <w:pPr>
                    <w:autoSpaceDE w:val="0"/>
                    <w:autoSpaceDN w:val="0"/>
                    <w:adjustRightInd w:val="0"/>
                    <w:snapToGrid w:val="0"/>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分子式：Li(NixCoyMn1-x-y)O</w:t>
                  </w:r>
                  <w:r>
                    <w:rPr>
                      <w:rFonts w:ascii="Times New Roman" w:hAnsi="Times New Roman" w:cs="Times New Roman"/>
                      <w:sz w:val="21"/>
                      <w:szCs w:val="21"/>
                      <w:vertAlign w:val="subscript"/>
                    </w:rPr>
                    <w:t>2</w:t>
                  </w:r>
                  <w:r>
                    <w:rPr>
                      <w:rFonts w:ascii="Times New Roman" w:hAnsi="Times New Roman" w:cs="Times New Roman"/>
                      <w:sz w:val="21"/>
                      <w:szCs w:val="21"/>
                    </w:rPr>
                    <w:t>，外观：黑色固体粉末，流动性好，形貌：球形或类球形颗粒。本项目使用的三元材料为</w:t>
                  </w:r>
                  <w:r>
                    <w:rPr>
                      <w:rFonts w:ascii="Times New Roman" w:hAnsi="Times New Roman" w:cs="Times New Roman"/>
                      <w:kern w:val="0"/>
                      <w:sz w:val="21"/>
                      <w:szCs w:val="21"/>
                    </w:rPr>
                    <w:t>Li(Ni</w:t>
                  </w:r>
                  <w:r>
                    <w:rPr>
                      <w:rFonts w:ascii="Times New Roman" w:hAnsi="Times New Roman" w:cs="Times New Roman"/>
                      <w:kern w:val="0"/>
                      <w:sz w:val="21"/>
                      <w:szCs w:val="21"/>
                      <w:vertAlign w:val="subscript"/>
                    </w:rPr>
                    <w:t>0.5</w:t>
                  </w:r>
                  <w:r>
                    <w:rPr>
                      <w:rFonts w:ascii="Times New Roman" w:hAnsi="Times New Roman" w:cs="Times New Roman"/>
                      <w:kern w:val="0"/>
                      <w:sz w:val="21"/>
                      <w:szCs w:val="21"/>
                    </w:rPr>
                    <w:t>Co</w:t>
                  </w:r>
                  <w:r>
                    <w:rPr>
                      <w:rFonts w:ascii="Times New Roman" w:hAnsi="Times New Roman" w:cs="Times New Roman"/>
                      <w:kern w:val="0"/>
                      <w:sz w:val="21"/>
                      <w:szCs w:val="21"/>
                      <w:vertAlign w:val="subscript"/>
                    </w:rPr>
                    <w:t>0.2</w:t>
                  </w:r>
                  <w:r>
                    <w:rPr>
                      <w:rFonts w:ascii="Times New Roman" w:hAnsi="Times New Roman" w:cs="Times New Roman"/>
                      <w:kern w:val="0"/>
                      <w:sz w:val="21"/>
                      <w:szCs w:val="21"/>
                    </w:rPr>
                    <w:t>Mn</w:t>
                  </w:r>
                  <w:r>
                    <w:rPr>
                      <w:rFonts w:ascii="Times New Roman" w:hAnsi="Times New Roman" w:cs="Times New Roman"/>
                      <w:kern w:val="0"/>
                      <w:sz w:val="21"/>
                      <w:szCs w:val="21"/>
                      <w:vertAlign w:val="subscript"/>
                    </w:rPr>
                    <w:t>0.3</w:t>
                  </w:r>
                  <w:r>
                    <w:rPr>
                      <w:rFonts w:ascii="Times New Roman" w:hAnsi="Times New Roman" w:cs="Times New Roman"/>
                      <w:kern w:val="0"/>
                      <w:sz w:val="21"/>
                      <w:szCs w:val="21"/>
                    </w:rPr>
                    <w:t>)O</w:t>
                  </w:r>
                  <w:r>
                    <w:rPr>
                      <w:rFonts w:ascii="Times New Roman" w:hAnsi="Times New Roman" w:cs="Times New Roman"/>
                      <w:kern w:val="0"/>
                      <w:sz w:val="21"/>
                      <w:szCs w:val="21"/>
                      <w:vertAlign w:val="subscript"/>
                    </w:rPr>
                    <w:t>2</w:t>
                  </w:r>
                  <w:r>
                    <w:rPr>
                      <w:rFonts w:ascii="Times New Roman" w:hAnsi="Times New Roman" w:cs="Times New Roman"/>
                      <w:sz w:val="21"/>
                      <w:szCs w:val="21"/>
                    </w:rPr>
                    <w:t>。</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1" w:type="dxa"/>
                  <w:bottom w:w="0" w:type="dxa"/>
                  <w:right w:w="11" w:type="dxa"/>
                </w:tblCellMar>
              </w:tblPrEx>
              <w:trPr>
                <w:trHeight w:val="255" w:hRule="atLeast"/>
                <w:jc w:val="center"/>
              </w:trPr>
              <w:tc>
                <w:tcPr>
                  <w:tcW w:w="661" w:type="dxa"/>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7</w:t>
                  </w:r>
                </w:p>
              </w:tc>
              <w:tc>
                <w:tcPr>
                  <w:tcW w:w="1206" w:type="dxa"/>
                  <w:vAlign w:val="center"/>
                </w:tcPr>
                <w:p>
                  <w:pPr>
                    <w:keepNext/>
                    <w:keepLines/>
                    <w:widowControl/>
                    <w:adjustRightInd w:val="0"/>
                    <w:snapToGrid w:val="0"/>
                    <w:ind w:firstLine="0" w:firstLineChars="0"/>
                    <w:jc w:val="center"/>
                    <w:outlineLvl w:val="3"/>
                    <w:rPr>
                      <w:rFonts w:ascii="Times New Roman" w:hAnsi="Times New Roman" w:cs="Times New Roman"/>
                      <w:sz w:val="21"/>
                      <w:szCs w:val="21"/>
                    </w:rPr>
                  </w:pPr>
                  <w:r>
                    <w:rPr>
                      <w:rFonts w:ascii="Times New Roman" w:hAnsi="Times New Roman" w:cs="Times New Roman"/>
                      <w:sz w:val="21"/>
                      <w:szCs w:val="21"/>
                    </w:rPr>
                    <w:t>石墨</w:t>
                  </w:r>
                </w:p>
              </w:tc>
              <w:tc>
                <w:tcPr>
                  <w:tcW w:w="7203" w:type="dxa"/>
                  <w:vAlign w:val="center"/>
                </w:tcPr>
                <w:p>
                  <w:pPr>
                    <w:autoSpaceDE w:val="0"/>
                    <w:autoSpaceDN w:val="0"/>
                    <w:adjustRightInd w:val="0"/>
                    <w:snapToGrid w:val="0"/>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石墨是元素碳的一种同素异形体，常温下单质碳的化学性质比较稳定，不溶于水、稀酸、稀碱和有机溶剂。</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1" w:type="dxa"/>
                  <w:bottom w:w="0" w:type="dxa"/>
                  <w:right w:w="11" w:type="dxa"/>
                </w:tblCellMar>
              </w:tblPrEx>
              <w:trPr>
                <w:trHeight w:val="255" w:hRule="atLeast"/>
                <w:jc w:val="center"/>
              </w:trPr>
              <w:tc>
                <w:tcPr>
                  <w:tcW w:w="661" w:type="dxa"/>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8</w:t>
                  </w:r>
                </w:p>
              </w:tc>
              <w:tc>
                <w:tcPr>
                  <w:tcW w:w="1206" w:type="dxa"/>
                  <w:vAlign w:val="center"/>
                </w:tcPr>
                <w:p>
                  <w:pPr>
                    <w:keepNext/>
                    <w:keepLines/>
                    <w:widowControl/>
                    <w:adjustRightInd w:val="0"/>
                    <w:snapToGrid w:val="0"/>
                    <w:ind w:firstLine="0" w:firstLineChars="0"/>
                    <w:jc w:val="center"/>
                    <w:outlineLvl w:val="3"/>
                    <w:rPr>
                      <w:rFonts w:ascii="Times New Roman" w:hAnsi="Times New Roman" w:cs="Times New Roman"/>
                      <w:sz w:val="21"/>
                      <w:szCs w:val="21"/>
                    </w:rPr>
                  </w:pPr>
                  <w:r>
                    <w:rPr>
                      <w:rFonts w:ascii="Times New Roman" w:hAnsi="Times New Roman" w:cs="Times New Roman"/>
                      <w:sz w:val="21"/>
                      <w:szCs w:val="21"/>
                    </w:rPr>
                    <w:t>隔膜</w:t>
                  </w:r>
                </w:p>
              </w:tc>
              <w:tc>
                <w:tcPr>
                  <w:tcW w:w="7203" w:type="dxa"/>
                  <w:vAlign w:val="center"/>
                </w:tcPr>
                <w:p>
                  <w:pPr>
                    <w:autoSpaceDE w:val="0"/>
                    <w:autoSpaceDN w:val="0"/>
                    <w:adjustRightInd w:val="0"/>
                    <w:snapToGrid w:val="0"/>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白色超薄膜，厚度一般在25um左右，为PP和PE复合的多层微孔膜。在锂离子电池中，将电池正、负级分隔开来，防止两极接触造成短路。</w:t>
                  </w:r>
                </w:p>
              </w:tc>
            </w:tr>
          </w:tbl>
          <w:p>
            <w:pPr>
              <w:spacing w:line="440" w:lineRule="exact"/>
              <w:ind w:firstLine="480"/>
              <w:rPr>
                <w:rFonts w:ascii="Times New Roman" w:hAnsi="Times New Roman" w:cs="Times New Roman"/>
                <w:kern w:val="0"/>
                <w:szCs w:val="24"/>
              </w:rPr>
            </w:pPr>
            <w:r>
              <w:rPr>
                <w:rFonts w:ascii="Times New Roman" w:hAnsi="Times New Roman" w:cs="Times New Roman"/>
                <w:kern w:val="0"/>
                <w:szCs w:val="24"/>
              </w:rPr>
              <w:t>项目使用的主要设备有自动投料系统、真空搅拌机（合浆机）、高速分散机等，具体设备清单详见表3。</w:t>
            </w:r>
          </w:p>
          <w:p>
            <w:pPr>
              <w:adjustRightInd w:val="0"/>
              <w:snapToGrid w:val="0"/>
              <w:spacing w:line="560" w:lineRule="exact"/>
              <w:ind w:firstLine="0" w:firstLineChars="0"/>
              <w:jc w:val="center"/>
              <w:rPr>
                <w:rFonts w:ascii="Times New Roman" w:hAnsi="Times New Roman" w:eastAsia="黑体" w:cs="Times New Roman"/>
              </w:rPr>
            </w:pPr>
            <w:r>
              <w:rPr>
                <w:rFonts w:ascii="Times New Roman" w:hAnsi="Times New Roman" w:eastAsia="黑体" w:cs="Times New Roman"/>
              </w:rPr>
              <w:t>表3  设备一览表</w:t>
            </w:r>
          </w:p>
          <w:tbl>
            <w:tblPr>
              <w:tblStyle w:val="11"/>
              <w:tblW w:w="8999"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709"/>
              <w:gridCol w:w="3963"/>
              <w:gridCol w:w="2453"/>
              <w:gridCol w:w="947"/>
              <w:gridCol w:w="92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blHeader/>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序号</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设备名称</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型号规格</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单位</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数量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1</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原材料立体仓库</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YQ-LK-01</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套</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2</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正极自动投料系统</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套</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3</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负极自动投料系统</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套</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4</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真空搅拌机（合浆机）</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DPD-450R</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台</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20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5</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高速分散机</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HPCF-600</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台</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24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6</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中转罐</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TK1500L</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套</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24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7</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挤压式涂布系统</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YT075D-42</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套</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8</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大卷物流搬运系统</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YQ-JJBY-01</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套</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9</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正极强力轧膜机</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800X750-C</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台</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10</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负极强力轧膜机</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800X750-D</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台</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11</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隧道式烘烤箱</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KR-HX-01EB-T0047</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台</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12</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极片分切机</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YF075D-70</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台</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12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13</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工业吸尘器</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LK-MCHX</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台</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40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14</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极片成型机</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台</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28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15</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电芯自动成型机</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台</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36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16</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极卷物流搬运系统</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YQ-JJBY-02</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套</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17</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X射线在线检测机</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GX5200</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台</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12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19</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极耳预焊裁切机</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GSCXB-G</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台</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24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20</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极柱焊接贴胶机</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GSCXB-H</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台</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24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23</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全自动激光焊接系统</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GD-LASER-HS-01</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套</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16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24</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自动组装线物流系统</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YQ-ZZ-03</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套</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25</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全自动注液系统</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GSCXB-I</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台</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26</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铆钢珠点胶机</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ZDAD08E1-00</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台</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27</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全自动电池清洗机</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ZDAD09A-00</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台</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28</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化成柜</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LIP-10P04</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台</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240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29</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化成自动物流系统</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YQ-HCWL-04</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套</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30</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分容柜</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HBF-0520</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台</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360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31</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分容自动物流系统</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YQ-FRWL-05</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套</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32</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电芯电压内阻检测系统</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VRC-048</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套</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16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33</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电芯静置立体仓库</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YQ-DXJZ-06</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台</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34</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高温老化积放链</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YQ-LHJF-07</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台</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35</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电池自动装载机器人分拣系统</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JX-WL-01</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台</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36</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PACK原材料立体仓库</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YQ-PAWL-08</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台</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37</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自动模组焊接系统</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GD-LASER-HS-02</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套</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38</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成品制造流水线</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YQ-LSX-09</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台</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39</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电池系统成品检测测试柜</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HYN-750-SYS-01</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台</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32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40</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转轮除湿机组</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TRL-1200P</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套</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12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41</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工业制氮机</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PSA</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套</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43</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高纯水发生仪</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WY-20A</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套</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0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44</w:t>
                  </w:r>
                </w:p>
              </w:tc>
              <w:tc>
                <w:tcPr>
                  <w:tcW w:w="396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NMP回收/精馏系统</w:t>
                  </w:r>
                </w:p>
              </w:tc>
              <w:tc>
                <w:tcPr>
                  <w:tcW w:w="2453"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JF-G6000</w:t>
                  </w:r>
                </w:p>
              </w:tc>
              <w:tc>
                <w:tcPr>
                  <w:tcW w:w="94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套</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072" w:type="dxa"/>
                  <w:gridSpan w:val="4"/>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合计</w:t>
                  </w:r>
                </w:p>
              </w:tc>
              <w:tc>
                <w:tcPr>
                  <w:tcW w:w="927"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1148</w:t>
                  </w:r>
                </w:p>
              </w:tc>
            </w:tr>
          </w:tbl>
          <w:p>
            <w:pPr>
              <w:spacing w:line="440" w:lineRule="exact"/>
              <w:ind w:firstLine="0" w:firstLineChars="0"/>
              <w:rPr>
                <w:rFonts w:ascii="Times New Roman" w:hAnsi="Times New Roman" w:cs="Times New Roman"/>
                <w:kern w:val="0"/>
                <w:szCs w:val="24"/>
              </w:rPr>
            </w:pPr>
            <w:r>
              <w:rPr>
                <w:rFonts w:ascii="Times New Roman" w:hAnsi="Times New Roman" w:cs="Times New Roman"/>
                <w:b/>
                <w:kern w:val="0"/>
                <w:szCs w:val="24"/>
              </w:rPr>
              <w:t>水及能源消耗量：</w:t>
            </w:r>
          </w:p>
          <w:p>
            <w:pPr>
              <w:spacing w:line="440" w:lineRule="exact"/>
              <w:ind w:firstLine="480"/>
              <w:rPr>
                <w:rFonts w:ascii="Times New Roman" w:hAnsi="Times New Roman" w:cs="Times New Roman"/>
                <w:kern w:val="0"/>
                <w:szCs w:val="24"/>
              </w:rPr>
            </w:pPr>
            <w:r>
              <w:rPr>
                <w:rFonts w:ascii="Times New Roman" w:hAnsi="Times New Roman" w:cs="Times New Roman"/>
                <w:kern w:val="0"/>
                <w:szCs w:val="24"/>
              </w:rPr>
              <w:t>运营期间水及能源消耗量情况</w:t>
            </w:r>
            <w:r>
              <w:rPr>
                <w:rFonts w:ascii="Times New Roman" w:hAnsi="Times New Roman" w:cs="Times New Roman"/>
              </w:rPr>
              <w:t>详见表4。</w:t>
            </w:r>
          </w:p>
          <w:p>
            <w:pPr>
              <w:adjustRightInd w:val="0"/>
              <w:snapToGrid w:val="0"/>
              <w:spacing w:line="560" w:lineRule="exact"/>
              <w:ind w:firstLine="0" w:firstLineChars="0"/>
              <w:jc w:val="center"/>
              <w:rPr>
                <w:rFonts w:ascii="Times New Roman" w:hAnsi="Times New Roman" w:eastAsia="黑体" w:cs="Times New Roman"/>
              </w:rPr>
            </w:pPr>
            <w:r>
              <w:rPr>
                <w:rFonts w:ascii="Times New Roman" w:hAnsi="Times New Roman" w:eastAsia="黑体" w:cs="Times New Roman"/>
              </w:rPr>
              <w:t>表4  水及能源消耗一览表</w:t>
            </w:r>
          </w:p>
          <w:tbl>
            <w:tblPr>
              <w:tblStyle w:val="11"/>
              <w:tblW w:w="907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
            <w:tblGrid>
              <w:gridCol w:w="2349"/>
              <w:gridCol w:w="2028"/>
              <w:gridCol w:w="2752"/>
              <w:gridCol w:w="194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234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名称</w:t>
                  </w:r>
                </w:p>
              </w:tc>
              <w:tc>
                <w:tcPr>
                  <w:tcW w:w="2028"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消耗量</w:t>
                  </w:r>
                </w:p>
              </w:tc>
              <w:tc>
                <w:tcPr>
                  <w:tcW w:w="2752"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名称</w:t>
                  </w:r>
                </w:p>
              </w:tc>
              <w:tc>
                <w:tcPr>
                  <w:tcW w:w="1941"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消耗量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234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水（t/a）</w:t>
                  </w:r>
                </w:p>
              </w:tc>
              <w:tc>
                <w:tcPr>
                  <w:tcW w:w="2028"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26000</w:t>
                  </w:r>
                </w:p>
              </w:tc>
              <w:tc>
                <w:tcPr>
                  <w:tcW w:w="2752" w:type="dxa"/>
                  <w:shd w:val="clear" w:color="auto" w:fill="auto"/>
                  <w:tcMar>
                    <w:top w:w="28" w:type="dxa"/>
                    <w:left w:w="28" w:type="dxa"/>
                    <w:bottom w:w="28" w:type="dxa"/>
                    <w:right w:w="28" w:type="dxa"/>
                  </w:tcMar>
                  <w:vAlign w:val="center"/>
                </w:tcPr>
                <w:p>
                  <w:pPr>
                    <w:spacing w:line="240" w:lineRule="auto"/>
                    <w:ind w:firstLine="420"/>
                    <w:jc w:val="center"/>
                    <w:rPr>
                      <w:rFonts w:ascii="Times New Roman" w:hAnsi="Times New Roman" w:cs="Times New Roman"/>
                      <w:bCs/>
                      <w:sz w:val="21"/>
                      <w:szCs w:val="21"/>
                    </w:rPr>
                  </w:pPr>
                  <w:r>
                    <w:rPr>
                      <w:rFonts w:ascii="Times New Roman" w:hAnsi="Times New Roman" w:cs="Times New Roman"/>
                      <w:bCs/>
                      <w:sz w:val="21"/>
                      <w:szCs w:val="21"/>
                    </w:rPr>
                    <w:t>燃油（t/a）</w:t>
                  </w:r>
                </w:p>
              </w:tc>
              <w:tc>
                <w:tcPr>
                  <w:tcW w:w="1941" w:type="dxa"/>
                  <w:shd w:val="clear" w:color="auto" w:fill="auto"/>
                  <w:tcMar>
                    <w:top w:w="28" w:type="dxa"/>
                    <w:left w:w="28" w:type="dxa"/>
                    <w:bottom w:w="28" w:type="dxa"/>
                    <w:right w:w="28" w:type="dxa"/>
                  </w:tcMar>
                  <w:vAlign w:val="center"/>
                </w:tcPr>
                <w:p>
                  <w:pPr>
                    <w:spacing w:line="240" w:lineRule="auto"/>
                    <w:ind w:firstLine="420"/>
                    <w:jc w:val="center"/>
                    <w:rPr>
                      <w:rFonts w:ascii="Times New Roman" w:hAnsi="Times New Roman" w:cs="Times New Roman"/>
                      <w:bCs/>
                      <w:sz w:val="21"/>
                      <w:szCs w:val="21"/>
                    </w:rPr>
                  </w:pPr>
                  <w:r>
                    <w:rPr>
                      <w:rFonts w:ascii="Times New Roman" w:hAnsi="Times New Roman" w:cs="Times New Roman"/>
                      <w:bCs/>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234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电（万KWh/a）</w:t>
                  </w:r>
                </w:p>
              </w:tc>
              <w:tc>
                <w:tcPr>
                  <w:tcW w:w="2028"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6500</w:t>
                  </w:r>
                </w:p>
              </w:tc>
              <w:tc>
                <w:tcPr>
                  <w:tcW w:w="2752" w:type="dxa"/>
                  <w:shd w:val="clear" w:color="auto" w:fill="auto"/>
                  <w:tcMar>
                    <w:top w:w="28" w:type="dxa"/>
                    <w:left w:w="28" w:type="dxa"/>
                    <w:bottom w:w="28" w:type="dxa"/>
                    <w:right w:w="28" w:type="dxa"/>
                  </w:tcMar>
                  <w:vAlign w:val="center"/>
                </w:tcPr>
                <w:p>
                  <w:pPr>
                    <w:spacing w:line="240" w:lineRule="auto"/>
                    <w:ind w:firstLine="420"/>
                    <w:jc w:val="center"/>
                    <w:rPr>
                      <w:rFonts w:ascii="Times New Roman" w:hAnsi="Times New Roman" w:cs="Times New Roman"/>
                      <w:bCs/>
                      <w:sz w:val="21"/>
                      <w:szCs w:val="21"/>
                    </w:rPr>
                  </w:pPr>
                  <w:r>
                    <w:rPr>
                      <w:rFonts w:ascii="Times New Roman" w:hAnsi="Times New Roman" w:cs="Times New Roman"/>
                      <w:bCs/>
                      <w:sz w:val="21"/>
                      <w:szCs w:val="21"/>
                    </w:rPr>
                    <w:t>燃气（标m</w:t>
                  </w:r>
                  <w:r>
                    <w:rPr>
                      <w:rFonts w:ascii="Times New Roman" w:hAnsi="Times New Roman" w:cs="Times New Roman"/>
                      <w:bCs/>
                      <w:sz w:val="21"/>
                      <w:szCs w:val="21"/>
                      <w:vertAlign w:val="superscript"/>
                    </w:rPr>
                    <w:t>3</w:t>
                  </w:r>
                  <w:r>
                    <w:rPr>
                      <w:rFonts w:ascii="Times New Roman" w:hAnsi="Times New Roman" w:cs="Times New Roman"/>
                      <w:bCs/>
                      <w:sz w:val="21"/>
                      <w:szCs w:val="21"/>
                    </w:rPr>
                    <w:t>/a）</w:t>
                  </w:r>
                </w:p>
              </w:tc>
              <w:tc>
                <w:tcPr>
                  <w:tcW w:w="1941" w:type="dxa"/>
                  <w:shd w:val="clear" w:color="auto" w:fill="auto"/>
                  <w:tcMar>
                    <w:top w:w="28" w:type="dxa"/>
                    <w:left w:w="28" w:type="dxa"/>
                    <w:bottom w:w="28" w:type="dxa"/>
                    <w:right w:w="28" w:type="dxa"/>
                  </w:tcMar>
                  <w:vAlign w:val="center"/>
                </w:tcPr>
                <w:p>
                  <w:pPr>
                    <w:spacing w:line="240" w:lineRule="auto"/>
                    <w:ind w:firstLine="420"/>
                    <w:jc w:val="center"/>
                    <w:rPr>
                      <w:rFonts w:ascii="Times New Roman" w:hAnsi="Times New Roman" w:cs="Times New Roman"/>
                      <w:bCs/>
                      <w:sz w:val="21"/>
                      <w:szCs w:val="21"/>
                    </w:rPr>
                  </w:pPr>
                  <w:r>
                    <w:rPr>
                      <w:rFonts w:ascii="Times New Roman" w:hAnsi="Times New Roman" w:cs="Times New Roman"/>
                      <w:bCs/>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2349"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燃煤（t/a）</w:t>
                  </w:r>
                </w:p>
              </w:tc>
              <w:tc>
                <w:tcPr>
                  <w:tcW w:w="2028"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w:t>
                  </w:r>
                </w:p>
              </w:tc>
              <w:tc>
                <w:tcPr>
                  <w:tcW w:w="2752"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蒸汽（t/a）</w:t>
                  </w:r>
                </w:p>
              </w:tc>
              <w:tc>
                <w:tcPr>
                  <w:tcW w:w="1941" w:type="dxa"/>
                  <w:shd w:val="clear" w:color="auto" w:fill="auto"/>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102256</w:t>
                  </w:r>
                </w:p>
              </w:tc>
            </w:tr>
          </w:tbl>
          <w:p>
            <w:pPr>
              <w:pStyle w:val="13"/>
              <w:spacing w:line="0" w:lineRule="atLeast"/>
              <w:ind w:firstLine="0" w:firstLineChars="0"/>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trHeight w:val="2460" w:hRule="atLeast"/>
          <w:jc w:val="center"/>
        </w:trPr>
        <w:tc>
          <w:tcPr>
            <w:tcW w:w="9126" w:type="dxa"/>
            <w:gridSpan w:val="11"/>
            <w:tcMar>
              <w:top w:w="28" w:type="dxa"/>
              <w:left w:w="28" w:type="dxa"/>
              <w:bottom w:w="28" w:type="dxa"/>
              <w:right w:w="28" w:type="dxa"/>
            </w:tcMar>
          </w:tcPr>
          <w:p>
            <w:pPr>
              <w:spacing w:before="60" w:beforeLines="25" w:after="60" w:afterLines="25" w:line="240" w:lineRule="auto"/>
              <w:ind w:firstLine="0" w:firstLineChars="0"/>
              <w:rPr>
                <w:rFonts w:ascii="Times New Roman" w:hAnsi="Times New Roman" w:cs="Times New Roman"/>
                <w:b/>
              </w:rPr>
            </w:pPr>
            <w:r>
              <w:rPr>
                <w:rFonts w:ascii="Times New Roman" w:hAnsi="Times New Roman" w:cs="Times New Roman"/>
                <w:b/>
              </w:rPr>
              <w:t>废水(工业废水</w:t>
            </w:r>
            <w:r>
              <w:rPr>
                <w:rFonts w:ascii="Times New Roman" w:hAnsi="Times New Roman" w:cs="Times New Roman"/>
                <w:szCs w:val="24"/>
              </w:rPr>
              <w:sym w:font="Wingdings" w:char="F0FE"/>
            </w:r>
            <w:r>
              <w:rPr>
                <w:rFonts w:ascii="Times New Roman" w:hAnsi="Times New Roman" w:cs="Times New Roman"/>
                <w:b/>
              </w:rPr>
              <w:t>、生活污水</w:t>
            </w:r>
            <w:r>
              <w:rPr>
                <w:rFonts w:ascii="Times New Roman" w:hAnsi="Times New Roman" w:cs="Times New Roman"/>
                <w:szCs w:val="24"/>
              </w:rPr>
              <w:sym w:font="Wingdings" w:char="F0FE"/>
            </w:r>
            <w:r>
              <w:rPr>
                <w:rFonts w:ascii="Times New Roman" w:hAnsi="Times New Roman" w:cs="Times New Roman"/>
                <w:b/>
              </w:rPr>
              <w:t>)排水量及排放去向：</w:t>
            </w:r>
          </w:p>
          <w:p>
            <w:pPr>
              <w:spacing w:line="440" w:lineRule="exact"/>
              <w:ind w:firstLine="512"/>
              <w:rPr>
                <w:rFonts w:ascii="Times New Roman" w:hAnsi="Times New Roman" w:cs="Times New Roman"/>
                <w:snapToGrid w:val="0"/>
                <w:kern w:val="0"/>
              </w:rPr>
            </w:pPr>
            <w:r>
              <w:rPr>
                <w:rFonts w:ascii="Times New Roman" w:hAnsi="Times New Roman" w:cs="Times New Roman"/>
                <w:bCs/>
                <w:spacing w:val="8"/>
                <w:szCs w:val="24"/>
              </w:rPr>
              <w:t>项目</w:t>
            </w:r>
            <w:r>
              <w:rPr>
                <w:rFonts w:ascii="Times New Roman" w:hAnsi="Times New Roman" w:cs="Times New Roman"/>
                <w:szCs w:val="24"/>
              </w:rPr>
              <w:t>生产废水产生3040m</w:t>
            </w:r>
            <w:r>
              <w:rPr>
                <w:rFonts w:ascii="Times New Roman" w:hAnsi="Times New Roman" w:cs="Times New Roman"/>
                <w:szCs w:val="24"/>
                <w:vertAlign w:val="superscript"/>
              </w:rPr>
              <w:t>3</w:t>
            </w:r>
            <w:r>
              <w:rPr>
                <w:rFonts w:ascii="Times New Roman" w:hAnsi="Times New Roman" w:cs="Times New Roman"/>
                <w:szCs w:val="24"/>
              </w:rPr>
              <w:t>/a，废水采用一套“二级混凝沉淀+微电解+生化处理”污水处理系统进行处理；</w:t>
            </w:r>
            <w:r>
              <w:rPr>
                <w:rFonts w:ascii="Times New Roman" w:hAnsi="Times New Roman" w:cs="Times New Roman"/>
                <w:bCs/>
                <w:spacing w:val="8"/>
                <w:szCs w:val="24"/>
              </w:rPr>
              <w:t>生活污水产生</w:t>
            </w:r>
            <w:r>
              <w:rPr>
                <w:rFonts w:ascii="Times New Roman" w:hAnsi="Times New Roman" w:cs="Times New Roman"/>
                <w:szCs w:val="24"/>
              </w:rPr>
              <w:t>12768m</w:t>
            </w:r>
            <w:r>
              <w:rPr>
                <w:rFonts w:ascii="Times New Roman" w:hAnsi="Times New Roman" w:cs="Times New Roman"/>
                <w:szCs w:val="24"/>
                <w:vertAlign w:val="superscript"/>
              </w:rPr>
              <w:t>3</w:t>
            </w:r>
            <w:r>
              <w:rPr>
                <w:rFonts w:ascii="Times New Roman" w:hAnsi="Times New Roman" w:cs="Times New Roman"/>
                <w:szCs w:val="24"/>
              </w:rPr>
              <w:t>/a，生活污水经化粪池预处理后与处理后的工业废水一同排入六合区污水处理厂</w:t>
            </w:r>
            <w:r>
              <w:rPr>
                <w:rFonts w:ascii="Times New Roman" w:hAnsi="Times New Roman" w:cs="Times New Roman"/>
                <w:spacing w:val="-1"/>
              </w:rPr>
              <w:t>深度处理，达到《城镇污水</w:t>
            </w:r>
            <w:r>
              <w:rPr>
                <w:rFonts w:ascii="Times New Roman" w:hAnsi="Times New Roman" w:cs="Times New Roman"/>
                <w:spacing w:val="-3"/>
              </w:rPr>
              <w:t>处理厂污染物排放标准》（GB18918-2002）一级</w:t>
            </w:r>
            <w:r>
              <w:rPr>
                <w:rFonts w:ascii="Times New Roman" w:hAnsi="Times New Roman" w:cs="Times New Roman"/>
              </w:rPr>
              <w:t>A</w:t>
            </w:r>
            <w:r>
              <w:rPr>
                <w:rFonts w:ascii="Times New Roman" w:hAnsi="Times New Roman" w:cs="Times New Roman"/>
                <w:spacing w:val="2"/>
              </w:rPr>
              <w:t>标准后排入滁河。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trHeight w:val="99" w:hRule="atLeast"/>
          <w:jc w:val="center"/>
        </w:trPr>
        <w:tc>
          <w:tcPr>
            <w:tcW w:w="9126" w:type="dxa"/>
            <w:gridSpan w:val="11"/>
            <w:tcMar>
              <w:top w:w="28" w:type="dxa"/>
              <w:left w:w="28" w:type="dxa"/>
              <w:bottom w:w="28" w:type="dxa"/>
              <w:right w:w="28" w:type="dxa"/>
            </w:tcMar>
            <w:vAlign w:val="center"/>
          </w:tcPr>
          <w:p>
            <w:pPr>
              <w:spacing w:line="240" w:lineRule="auto"/>
              <w:ind w:firstLine="0" w:firstLineChars="0"/>
              <w:jc w:val="left"/>
              <w:rPr>
                <w:rFonts w:ascii="Times New Roman" w:hAnsi="Times New Roman" w:cs="Times New Roman"/>
                <w:b/>
              </w:rPr>
            </w:pPr>
            <w:r>
              <w:rPr>
                <w:rFonts w:ascii="Times New Roman" w:hAnsi="Times New Roman" w:cs="Times New Roman"/>
                <w:b/>
              </w:rPr>
              <w:t>放射性同位素和伴有电磁辐射的设施的使用情况：</w:t>
            </w:r>
          </w:p>
          <w:p>
            <w:pPr>
              <w:spacing w:line="440" w:lineRule="exact"/>
              <w:ind w:firstLine="512"/>
              <w:rPr>
                <w:rFonts w:ascii="Times New Roman" w:hAnsi="Times New Roman" w:cs="Times New Roman"/>
                <w:bCs/>
                <w:spacing w:val="8"/>
                <w:szCs w:val="24"/>
              </w:rPr>
            </w:pPr>
            <w:r>
              <w:rPr>
                <w:rFonts w:ascii="Times New Roman" w:hAnsi="Times New Roman" w:cs="Times New Roman"/>
                <w:bCs/>
                <w:spacing w:val="8"/>
                <w:szCs w:val="24"/>
              </w:rPr>
              <w:t>项目设置12台X射线在线检测机，型号XG5200。在距离设备表面10cm处进行放射性检测，检测结果见表5，相关检测报告见附件。</w:t>
            </w:r>
          </w:p>
          <w:p>
            <w:pPr>
              <w:adjustRightInd w:val="0"/>
              <w:snapToGrid w:val="0"/>
              <w:spacing w:before="240" w:beforeLines="100" w:line="400" w:lineRule="exact"/>
              <w:ind w:firstLine="0" w:firstLineChars="0"/>
              <w:jc w:val="center"/>
              <w:rPr>
                <w:rFonts w:ascii="Times New Roman" w:hAnsi="Times New Roman" w:eastAsia="黑体" w:cs="Times New Roman"/>
              </w:rPr>
            </w:pPr>
            <w:r>
              <w:rPr>
                <w:rFonts w:ascii="Times New Roman" w:hAnsi="Times New Roman" w:eastAsia="黑体" w:cs="Times New Roman"/>
              </w:rPr>
              <w:t>表5 放射设备检测结果</w:t>
            </w:r>
          </w:p>
          <w:tbl>
            <w:tblPr>
              <w:tblStyle w:val="11"/>
              <w:tblpPr w:leftFromText="180" w:rightFromText="180" w:vertAnchor="text" w:horzAnchor="margin" w:tblpXSpec="center" w:tblpY="65"/>
              <w:tblOverlap w:val="never"/>
              <w:tblW w:w="907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462"/>
              <w:gridCol w:w="2781"/>
              <w:gridCol w:w="2340"/>
              <w:gridCol w:w="160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78"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序号</w:t>
                  </w:r>
                </w:p>
              </w:tc>
              <w:tc>
                <w:tcPr>
                  <w:tcW w:w="1462"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检验部位</w:t>
                  </w:r>
                </w:p>
              </w:tc>
              <w:tc>
                <w:tcPr>
                  <w:tcW w:w="2781"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标准值</w:t>
                  </w:r>
                </w:p>
              </w:tc>
              <w:tc>
                <w:tcPr>
                  <w:tcW w:w="2340"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检测结果</w:t>
                  </w:r>
                </w:p>
              </w:tc>
              <w:tc>
                <w:tcPr>
                  <w:tcW w:w="1609"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单项评价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78"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w:t>
                  </w:r>
                </w:p>
              </w:tc>
              <w:tc>
                <w:tcPr>
                  <w:tcW w:w="1462"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前面</w:t>
                  </w:r>
                </w:p>
              </w:tc>
              <w:tc>
                <w:tcPr>
                  <w:tcW w:w="2781"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辐射泄漏≤1uSV/h</w:t>
                  </w:r>
                </w:p>
              </w:tc>
              <w:tc>
                <w:tcPr>
                  <w:tcW w:w="2340"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0.21SV/h</w:t>
                  </w:r>
                </w:p>
              </w:tc>
              <w:tc>
                <w:tcPr>
                  <w:tcW w:w="1609"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合格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78"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w:t>
                  </w:r>
                </w:p>
              </w:tc>
              <w:tc>
                <w:tcPr>
                  <w:tcW w:w="1462"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后面</w:t>
                  </w:r>
                </w:p>
              </w:tc>
              <w:tc>
                <w:tcPr>
                  <w:tcW w:w="2781"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辐射泄漏≤1uSV/h</w:t>
                  </w:r>
                </w:p>
              </w:tc>
              <w:tc>
                <w:tcPr>
                  <w:tcW w:w="2340"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0.20SV/h</w:t>
                  </w:r>
                </w:p>
              </w:tc>
              <w:tc>
                <w:tcPr>
                  <w:tcW w:w="1609"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合格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78"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3</w:t>
                  </w:r>
                </w:p>
              </w:tc>
              <w:tc>
                <w:tcPr>
                  <w:tcW w:w="1462"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左侧</w:t>
                  </w:r>
                </w:p>
              </w:tc>
              <w:tc>
                <w:tcPr>
                  <w:tcW w:w="2781"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辐射泄漏≤1uSV/h</w:t>
                  </w:r>
                </w:p>
              </w:tc>
              <w:tc>
                <w:tcPr>
                  <w:tcW w:w="2340"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0.35SV/h</w:t>
                  </w:r>
                </w:p>
              </w:tc>
              <w:tc>
                <w:tcPr>
                  <w:tcW w:w="1609"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合格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78"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4</w:t>
                  </w:r>
                </w:p>
              </w:tc>
              <w:tc>
                <w:tcPr>
                  <w:tcW w:w="1462"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右侧</w:t>
                  </w:r>
                </w:p>
              </w:tc>
              <w:tc>
                <w:tcPr>
                  <w:tcW w:w="2781"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辐射泄漏≤1uSV/h</w:t>
                  </w:r>
                </w:p>
              </w:tc>
              <w:tc>
                <w:tcPr>
                  <w:tcW w:w="2340"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0.28SV/h</w:t>
                  </w:r>
                </w:p>
              </w:tc>
              <w:tc>
                <w:tcPr>
                  <w:tcW w:w="1609"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合格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78"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5</w:t>
                  </w:r>
                </w:p>
              </w:tc>
              <w:tc>
                <w:tcPr>
                  <w:tcW w:w="1462"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顶面</w:t>
                  </w:r>
                </w:p>
              </w:tc>
              <w:tc>
                <w:tcPr>
                  <w:tcW w:w="2781"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辐射泄漏≤1uSV/h</w:t>
                  </w:r>
                </w:p>
              </w:tc>
              <w:tc>
                <w:tcPr>
                  <w:tcW w:w="2340"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0.21SV/h</w:t>
                  </w:r>
                </w:p>
              </w:tc>
              <w:tc>
                <w:tcPr>
                  <w:tcW w:w="1609"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合格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78"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6</w:t>
                  </w:r>
                </w:p>
              </w:tc>
              <w:tc>
                <w:tcPr>
                  <w:tcW w:w="1462"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底边</w:t>
                  </w:r>
                </w:p>
              </w:tc>
              <w:tc>
                <w:tcPr>
                  <w:tcW w:w="2781"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辐射泄漏≤1uSV/h</w:t>
                  </w:r>
                </w:p>
              </w:tc>
              <w:tc>
                <w:tcPr>
                  <w:tcW w:w="2340"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0.15SV/h</w:t>
                  </w:r>
                </w:p>
              </w:tc>
              <w:tc>
                <w:tcPr>
                  <w:tcW w:w="1609"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合格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070" w:type="dxa"/>
                  <w:gridSpan w:val="5"/>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最终测试结论：合格</w:t>
                  </w:r>
                </w:p>
              </w:tc>
            </w:tr>
          </w:tbl>
          <w:p>
            <w:pPr>
              <w:spacing w:line="440" w:lineRule="exact"/>
              <w:ind w:firstLine="512"/>
              <w:jc w:val="left"/>
              <w:rPr>
                <w:rFonts w:ascii="Times New Roman" w:hAnsi="Times New Roman" w:cs="Times New Roman"/>
              </w:rPr>
            </w:pPr>
            <w:r>
              <w:rPr>
                <w:rFonts w:ascii="Times New Roman" w:hAnsi="Times New Roman" w:cs="Times New Roman"/>
                <w:bCs/>
                <w:spacing w:val="8"/>
                <w:szCs w:val="24"/>
              </w:rPr>
              <w:t>根据《建设项目环境影响评价分类管理名录》（中华人民共和国环境保护部令 第44号）的有关规定，项目设置的12台X射线在线检测机应另行编制环境影响评价文件，本次不对其进行环境影响评价。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trHeight w:val="454" w:hRule="atLeast"/>
          <w:jc w:val="center"/>
        </w:trPr>
        <w:tc>
          <w:tcPr>
            <w:tcW w:w="9126" w:type="dxa"/>
            <w:gridSpan w:val="11"/>
            <w:tcMar>
              <w:top w:w="28" w:type="dxa"/>
              <w:left w:w="28" w:type="dxa"/>
              <w:bottom w:w="28" w:type="dxa"/>
              <w:right w:w="28" w:type="dxa"/>
            </w:tcMar>
          </w:tcPr>
          <w:p>
            <w:pPr>
              <w:spacing w:before="60" w:beforeLines="25" w:after="60" w:afterLines="25" w:line="240" w:lineRule="auto"/>
              <w:ind w:firstLine="0" w:firstLineChars="0"/>
              <w:rPr>
                <w:rFonts w:ascii="Times New Roman" w:hAnsi="Times New Roman" w:cs="Times New Roman"/>
                <w:b/>
              </w:rPr>
            </w:pPr>
            <w:r>
              <w:rPr>
                <w:rFonts w:ascii="Times New Roman" w:hAnsi="Times New Roman" w:cs="Times New Roman"/>
                <w:b/>
              </w:rPr>
              <w:t>工程内容及规模：</w:t>
            </w:r>
          </w:p>
          <w:p>
            <w:pPr>
              <w:spacing w:line="440" w:lineRule="exact"/>
              <w:ind w:left="480" w:firstLine="0" w:firstLineChars="0"/>
              <w:rPr>
                <w:rFonts w:ascii="Times New Roman" w:hAnsi="Times New Roman" w:cs="Times New Roman"/>
              </w:rPr>
            </w:pPr>
            <w:r>
              <w:rPr>
                <w:rFonts w:ascii="Times New Roman" w:hAnsi="Times New Roman" w:cs="Times New Roman"/>
              </w:rPr>
              <w:t>1、项目由来</w:t>
            </w:r>
          </w:p>
          <w:p>
            <w:pPr>
              <w:spacing w:line="440" w:lineRule="exact"/>
              <w:ind w:firstLine="480"/>
              <w:rPr>
                <w:rFonts w:ascii="Times New Roman" w:hAnsi="Times New Roman" w:cs="Times New Roman"/>
              </w:rPr>
            </w:pPr>
            <w:r>
              <w:rPr>
                <w:rFonts w:ascii="Times New Roman" w:hAnsi="Times New Roman" w:cs="Times New Roman"/>
              </w:rPr>
              <w:t>南京国轩新能源有限公司位于六合经济开发区内，由合肥国轩高科动力能源有限公司投资建立，主要从事新型锂离子电池及其材料的研发、生产和经营，秉承“珍惜、务实、诚信、创新”的理念，坚持以科学发展观为指导，以市场需求为导向，拟建设国轩南京年产5GWh动力电池系统生产线及配套建设项目。根据《中华人民共和国环境影响评价法》、《建设项目环境保护管理条例》及《建设项目环境影响评价分类管理名录》等有关规定，项目需编制环境影响报告表。受</w:t>
            </w:r>
            <w:r>
              <w:rPr>
                <w:rFonts w:ascii="Times New Roman" w:hAnsi="Times New Roman" w:cs="Times New Roman"/>
                <w:szCs w:val="24"/>
              </w:rPr>
              <w:t>南京国轩新能源有限公司委托，江苏国恒安全评价咨询服务有限公司负责国轩南京年产5GWh动力电池系统生产线及配套建设项目的环境影响评价工作</w:t>
            </w:r>
            <w:r>
              <w:rPr>
                <w:rFonts w:ascii="Times New Roman" w:hAnsi="Times New Roman" w:cs="Times New Roman"/>
              </w:rPr>
              <w:t>。</w:t>
            </w:r>
          </w:p>
          <w:p>
            <w:pPr>
              <w:spacing w:line="440" w:lineRule="exact"/>
              <w:ind w:firstLine="480"/>
              <w:rPr>
                <w:rFonts w:ascii="Times New Roman" w:hAnsi="Times New Roman" w:cs="Times New Roman"/>
              </w:rPr>
            </w:pPr>
            <w:r>
              <w:rPr>
                <w:rFonts w:ascii="Times New Roman" w:hAnsi="Times New Roman" w:cs="Times New Roman"/>
              </w:rPr>
              <w:t>2、项目概况</w:t>
            </w:r>
          </w:p>
          <w:p>
            <w:pPr>
              <w:spacing w:line="440" w:lineRule="exact"/>
              <w:ind w:firstLine="480"/>
              <w:rPr>
                <w:rFonts w:ascii="Times New Roman" w:hAnsi="Times New Roman" w:cs="Times New Roman"/>
              </w:rPr>
            </w:pPr>
            <w:r>
              <w:rPr>
                <w:rFonts w:ascii="Times New Roman" w:hAnsi="Times New Roman" w:cs="Times New Roman"/>
              </w:rPr>
              <w:t>（1）建设项目基本情况</w:t>
            </w:r>
          </w:p>
          <w:p>
            <w:pPr>
              <w:spacing w:line="440" w:lineRule="exact"/>
              <w:ind w:firstLine="480"/>
              <w:rPr>
                <w:rFonts w:ascii="Times New Roman" w:hAnsi="Times New Roman" w:cs="Times New Roman"/>
              </w:rPr>
            </w:pPr>
            <w:r>
              <w:rPr>
                <w:rFonts w:ascii="Times New Roman" w:hAnsi="Times New Roman" w:cs="Times New Roman"/>
              </w:rPr>
              <w:t>项目名称：国轩南京年产5GWh动力电池系统生产线及配套建设项目</w:t>
            </w:r>
          </w:p>
          <w:p>
            <w:pPr>
              <w:spacing w:line="440" w:lineRule="exact"/>
              <w:ind w:firstLine="480"/>
              <w:rPr>
                <w:rFonts w:ascii="Times New Roman" w:hAnsi="Times New Roman" w:cs="Times New Roman"/>
              </w:rPr>
            </w:pPr>
            <w:r>
              <w:rPr>
                <w:rFonts w:ascii="Times New Roman" w:hAnsi="Times New Roman" w:cs="Times New Roman"/>
              </w:rPr>
              <w:t>建设单位：南京国轩新能源有限公司</w:t>
            </w:r>
          </w:p>
          <w:p>
            <w:pPr>
              <w:spacing w:line="440" w:lineRule="exact"/>
              <w:ind w:firstLine="480"/>
              <w:rPr>
                <w:rFonts w:ascii="Times New Roman" w:hAnsi="Times New Roman" w:cs="Times New Roman"/>
              </w:rPr>
            </w:pPr>
            <w:r>
              <w:rPr>
                <w:rFonts w:ascii="Times New Roman" w:hAnsi="Times New Roman" w:cs="Times New Roman"/>
              </w:rPr>
              <w:t>项目性质：新建</w:t>
            </w:r>
          </w:p>
          <w:p>
            <w:pPr>
              <w:spacing w:line="440" w:lineRule="exact"/>
              <w:ind w:firstLine="480"/>
              <w:rPr>
                <w:rFonts w:ascii="Times New Roman" w:hAnsi="Times New Roman" w:cs="Times New Roman"/>
                <w:szCs w:val="24"/>
              </w:rPr>
            </w:pPr>
            <w:r>
              <w:rPr>
                <w:rFonts w:ascii="Times New Roman" w:hAnsi="Times New Roman" w:cs="Times New Roman"/>
              </w:rPr>
              <w:t>建设地点：</w:t>
            </w:r>
            <w:r>
              <w:rPr>
                <w:rFonts w:ascii="Times New Roman" w:hAnsi="Times New Roman" w:cs="Times New Roman"/>
                <w:bCs/>
                <w:szCs w:val="24"/>
              </w:rPr>
              <w:t>南京六合区六新路以北，龙须湖路以东，新港湾路以西，虎跃西路以南</w:t>
            </w:r>
          </w:p>
          <w:p>
            <w:pPr>
              <w:spacing w:line="440" w:lineRule="exact"/>
              <w:ind w:firstLine="480"/>
              <w:rPr>
                <w:rFonts w:ascii="Times New Roman" w:hAnsi="Times New Roman" w:cs="Times New Roman"/>
                <w:szCs w:val="24"/>
              </w:rPr>
            </w:pPr>
            <w:r>
              <w:rPr>
                <w:rFonts w:ascii="Times New Roman" w:hAnsi="Times New Roman" w:cs="Times New Roman"/>
                <w:szCs w:val="24"/>
              </w:rPr>
              <w:t>投资总额：600000万元</w:t>
            </w:r>
          </w:p>
          <w:p>
            <w:pPr>
              <w:spacing w:line="440" w:lineRule="exact"/>
              <w:ind w:firstLine="480"/>
              <w:rPr>
                <w:rFonts w:ascii="Times New Roman" w:hAnsi="Times New Roman" w:cs="Times New Roman"/>
                <w:szCs w:val="24"/>
              </w:rPr>
            </w:pPr>
            <w:r>
              <w:rPr>
                <w:rFonts w:ascii="Times New Roman" w:hAnsi="Times New Roman" w:cs="Times New Roman"/>
                <w:szCs w:val="24"/>
              </w:rPr>
              <w:t>劳动定员：570人，其中技术管理人员140人，工人430人</w:t>
            </w:r>
          </w:p>
          <w:p>
            <w:pPr>
              <w:spacing w:line="440" w:lineRule="exact"/>
              <w:ind w:firstLine="480"/>
              <w:rPr>
                <w:rFonts w:ascii="Times New Roman" w:hAnsi="Times New Roman" w:cs="Times New Roman"/>
                <w:szCs w:val="24"/>
              </w:rPr>
            </w:pPr>
            <w:r>
              <w:rPr>
                <w:rFonts w:ascii="Times New Roman" w:hAnsi="Times New Roman" w:cs="Times New Roman"/>
                <w:szCs w:val="24"/>
              </w:rPr>
              <w:t>工作制度：主要生产车间实行三班工作制，每班制8小时；行政管理为单班工作制，每班制8小时；年生产天数280天。</w:t>
            </w:r>
          </w:p>
          <w:p>
            <w:pPr>
              <w:spacing w:line="440" w:lineRule="exact"/>
              <w:ind w:firstLine="480"/>
              <w:rPr>
                <w:rFonts w:ascii="Times New Roman" w:hAnsi="Times New Roman" w:cs="Times New Roman"/>
                <w:szCs w:val="24"/>
              </w:rPr>
            </w:pPr>
            <w:r>
              <w:rPr>
                <w:rFonts w:ascii="Times New Roman" w:hAnsi="Times New Roman" w:cs="Times New Roman"/>
                <w:szCs w:val="24"/>
              </w:rPr>
              <w:t>生产规模：年产锂离子动力电池5GWh</w:t>
            </w:r>
          </w:p>
          <w:p>
            <w:pPr>
              <w:spacing w:line="440" w:lineRule="exact"/>
              <w:ind w:firstLine="480"/>
              <w:rPr>
                <w:rFonts w:ascii="Times New Roman" w:hAnsi="Times New Roman" w:cs="Times New Roman"/>
              </w:rPr>
            </w:pPr>
            <w:r>
              <w:rPr>
                <w:rFonts w:ascii="Times New Roman" w:hAnsi="Times New Roman" w:cs="Times New Roman"/>
              </w:rPr>
              <w:t>（2）项目工程概况</w:t>
            </w:r>
          </w:p>
          <w:p>
            <w:pPr>
              <w:spacing w:line="440" w:lineRule="exact"/>
              <w:ind w:firstLine="480"/>
              <w:rPr>
                <w:rFonts w:ascii="Times New Roman" w:hAnsi="Times New Roman" w:cs="Times New Roman"/>
              </w:rPr>
            </w:pPr>
            <w:r>
              <w:rPr>
                <w:rFonts w:ascii="Times New Roman" w:hAnsi="Times New Roman" w:cs="Times New Roman"/>
              </w:rPr>
              <w:t>项目工程建设厂房及附属设施，均为新建，厂房建设情况详见表6，附属设施建设情况相见表7，具体平面布置详见附图。</w:t>
            </w:r>
          </w:p>
          <w:p>
            <w:pPr>
              <w:adjustRightInd w:val="0"/>
              <w:snapToGrid w:val="0"/>
              <w:spacing w:line="560" w:lineRule="exact"/>
              <w:ind w:firstLine="0" w:firstLineChars="0"/>
              <w:jc w:val="center"/>
              <w:rPr>
                <w:rFonts w:ascii="Times New Roman" w:hAnsi="Times New Roman" w:eastAsia="黑体" w:cs="Times New Roman"/>
              </w:rPr>
            </w:pPr>
            <w:r>
              <w:rPr>
                <w:rFonts w:ascii="Times New Roman" w:hAnsi="Times New Roman" w:eastAsia="黑体" w:cs="Times New Roman"/>
              </w:rPr>
              <w:t>表6  厂房建设情况一览表</w:t>
            </w:r>
          </w:p>
          <w:tbl>
            <w:tblPr>
              <w:tblStyle w:val="11"/>
              <w:tblW w:w="9070"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443"/>
              <w:gridCol w:w="1918"/>
              <w:gridCol w:w="1706"/>
              <w:gridCol w:w="1000"/>
              <w:gridCol w:w="100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bookmarkStart w:id="0" w:name="_Hlk508897266"/>
                  <w:r>
                    <w:rPr>
                      <w:rFonts w:ascii="Times New Roman" w:hAnsi="Times New Roman" w:cs="Times New Roman"/>
                      <w:kern w:val="0"/>
                      <w:sz w:val="21"/>
                      <w:szCs w:val="21"/>
                    </w:rPr>
                    <w:t>序号</w:t>
                  </w:r>
                </w:p>
              </w:tc>
              <w:tc>
                <w:tcPr>
                  <w:tcW w:w="244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名称</w:t>
                  </w:r>
                </w:p>
              </w:tc>
              <w:tc>
                <w:tcPr>
                  <w:tcW w:w="1918"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建筑面积（m</w:t>
                  </w:r>
                  <w:r>
                    <w:rPr>
                      <w:rFonts w:ascii="Times New Roman" w:hAnsi="Times New Roman" w:cs="Times New Roman"/>
                      <w:kern w:val="0"/>
                      <w:sz w:val="21"/>
                      <w:szCs w:val="21"/>
                      <w:vertAlign w:val="superscript"/>
                    </w:rPr>
                    <w:t>2</w:t>
                  </w:r>
                  <w:r>
                    <w:rPr>
                      <w:rFonts w:ascii="Times New Roman" w:hAnsi="Times New Roman" w:cs="Times New Roman"/>
                      <w:kern w:val="0"/>
                      <w:sz w:val="21"/>
                      <w:szCs w:val="21"/>
                    </w:rPr>
                    <w:t>）</w:t>
                  </w:r>
                </w:p>
              </w:tc>
              <w:tc>
                <w:tcPr>
                  <w:tcW w:w="1706"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结构</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层数</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w:t>
                  </w:r>
                </w:p>
              </w:tc>
              <w:tc>
                <w:tcPr>
                  <w:tcW w:w="244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1#-A厂房</w:t>
                  </w:r>
                </w:p>
              </w:tc>
              <w:tc>
                <w:tcPr>
                  <w:tcW w:w="1918"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13500</w:t>
                  </w:r>
                </w:p>
              </w:tc>
              <w:tc>
                <w:tcPr>
                  <w:tcW w:w="1706"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钢结构</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一层</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2</w:t>
                  </w:r>
                </w:p>
              </w:tc>
              <w:tc>
                <w:tcPr>
                  <w:tcW w:w="244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1#-B厂房</w:t>
                  </w:r>
                </w:p>
              </w:tc>
              <w:tc>
                <w:tcPr>
                  <w:tcW w:w="1918"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1950</w:t>
                  </w:r>
                </w:p>
              </w:tc>
              <w:tc>
                <w:tcPr>
                  <w:tcW w:w="1706"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钢结构</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一层</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3</w:t>
                  </w:r>
                </w:p>
              </w:tc>
              <w:tc>
                <w:tcPr>
                  <w:tcW w:w="244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1#-C厂房</w:t>
                  </w:r>
                </w:p>
              </w:tc>
              <w:tc>
                <w:tcPr>
                  <w:tcW w:w="1918"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1950</w:t>
                  </w:r>
                </w:p>
              </w:tc>
              <w:tc>
                <w:tcPr>
                  <w:tcW w:w="1706"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钢结构</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一层</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4</w:t>
                  </w:r>
                </w:p>
              </w:tc>
              <w:tc>
                <w:tcPr>
                  <w:tcW w:w="244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1#-D厂房</w:t>
                  </w:r>
                </w:p>
              </w:tc>
              <w:tc>
                <w:tcPr>
                  <w:tcW w:w="1918" w:type="dxa"/>
                  <w:shd w:val="clear" w:color="auto" w:fill="auto"/>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13500</w:t>
                  </w:r>
                </w:p>
              </w:tc>
              <w:tc>
                <w:tcPr>
                  <w:tcW w:w="1706"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钢结构</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一层</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5</w:t>
                  </w:r>
                </w:p>
              </w:tc>
              <w:tc>
                <w:tcPr>
                  <w:tcW w:w="244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1#-E厂房</w:t>
                  </w:r>
                </w:p>
              </w:tc>
              <w:tc>
                <w:tcPr>
                  <w:tcW w:w="1918" w:type="dxa"/>
                  <w:shd w:val="clear" w:color="auto" w:fill="auto"/>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1950</w:t>
                  </w:r>
                </w:p>
              </w:tc>
              <w:tc>
                <w:tcPr>
                  <w:tcW w:w="1706"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钢结构</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一层</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6</w:t>
                  </w:r>
                </w:p>
              </w:tc>
              <w:tc>
                <w:tcPr>
                  <w:tcW w:w="244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1#-F厂房</w:t>
                  </w:r>
                </w:p>
              </w:tc>
              <w:tc>
                <w:tcPr>
                  <w:tcW w:w="1918" w:type="dxa"/>
                  <w:shd w:val="clear" w:color="auto" w:fill="auto"/>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1950</w:t>
                  </w:r>
                </w:p>
              </w:tc>
              <w:tc>
                <w:tcPr>
                  <w:tcW w:w="1706"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钢结构</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一层</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7</w:t>
                  </w:r>
                </w:p>
              </w:tc>
              <w:tc>
                <w:tcPr>
                  <w:tcW w:w="244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1#-G厂房</w:t>
                  </w:r>
                </w:p>
              </w:tc>
              <w:tc>
                <w:tcPr>
                  <w:tcW w:w="1918" w:type="dxa"/>
                  <w:shd w:val="clear" w:color="auto" w:fill="auto"/>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13500</w:t>
                  </w:r>
                </w:p>
              </w:tc>
              <w:tc>
                <w:tcPr>
                  <w:tcW w:w="1706"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钢结构</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一层</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8</w:t>
                  </w:r>
                </w:p>
              </w:tc>
              <w:tc>
                <w:tcPr>
                  <w:tcW w:w="244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2#厂房</w:t>
                  </w:r>
                </w:p>
              </w:tc>
              <w:tc>
                <w:tcPr>
                  <w:tcW w:w="1918" w:type="dxa"/>
                  <w:shd w:val="clear" w:color="auto" w:fill="auto"/>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4050</w:t>
                  </w:r>
                </w:p>
              </w:tc>
              <w:tc>
                <w:tcPr>
                  <w:tcW w:w="1706"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框架结构</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三层</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9</w:t>
                  </w:r>
                </w:p>
              </w:tc>
              <w:tc>
                <w:tcPr>
                  <w:tcW w:w="244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3#厂房</w:t>
                  </w:r>
                </w:p>
              </w:tc>
              <w:tc>
                <w:tcPr>
                  <w:tcW w:w="1918" w:type="dxa"/>
                  <w:shd w:val="clear" w:color="auto" w:fill="auto"/>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2160</w:t>
                  </w:r>
                </w:p>
              </w:tc>
              <w:tc>
                <w:tcPr>
                  <w:tcW w:w="1706"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框架结构</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三层</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10</w:t>
                  </w:r>
                </w:p>
              </w:tc>
              <w:tc>
                <w:tcPr>
                  <w:tcW w:w="244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4#配套楼</w:t>
                  </w:r>
                </w:p>
              </w:tc>
              <w:tc>
                <w:tcPr>
                  <w:tcW w:w="1918"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11000</w:t>
                  </w:r>
                </w:p>
              </w:tc>
              <w:tc>
                <w:tcPr>
                  <w:tcW w:w="1706"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框架结构</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五层</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11</w:t>
                  </w:r>
                </w:p>
              </w:tc>
              <w:tc>
                <w:tcPr>
                  <w:tcW w:w="244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5#厂房</w:t>
                  </w:r>
                </w:p>
              </w:tc>
              <w:tc>
                <w:tcPr>
                  <w:tcW w:w="1918"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3780</w:t>
                  </w:r>
                </w:p>
              </w:tc>
              <w:tc>
                <w:tcPr>
                  <w:tcW w:w="1706"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框架结构</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三层</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12</w:t>
                  </w:r>
                </w:p>
              </w:tc>
              <w:tc>
                <w:tcPr>
                  <w:tcW w:w="244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6#厂房</w:t>
                  </w:r>
                </w:p>
              </w:tc>
              <w:tc>
                <w:tcPr>
                  <w:tcW w:w="1918"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3780</w:t>
                  </w:r>
                </w:p>
              </w:tc>
              <w:tc>
                <w:tcPr>
                  <w:tcW w:w="1706"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框架结构</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三层</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13</w:t>
                  </w:r>
                </w:p>
              </w:tc>
              <w:tc>
                <w:tcPr>
                  <w:tcW w:w="244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7#厂房</w:t>
                  </w:r>
                </w:p>
              </w:tc>
              <w:tc>
                <w:tcPr>
                  <w:tcW w:w="1918"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3780</w:t>
                  </w:r>
                </w:p>
              </w:tc>
              <w:tc>
                <w:tcPr>
                  <w:tcW w:w="1706"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框架结构</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三层</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14</w:t>
                  </w:r>
                </w:p>
              </w:tc>
              <w:tc>
                <w:tcPr>
                  <w:tcW w:w="244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8#厂房</w:t>
                  </w:r>
                </w:p>
              </w:tc>
              <w:tc>
                <w:tcPr>
                  <w:tcW w:w="1918"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3780</w:t>
                  </w:r>
                </w:p>
              </w:tc>
              <w:tc>
                <w:tcPr>
                  <w:tcW w:w="1706"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框架结构</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三层</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15</w:t>
                  </w:r>
                </w:p>
              </w:tc>
              <w:tc>
                <w:tcPr>
                  <w:tcW w:w="244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9#厂房</w:t>
                  </w:r>
                </w:p>
              </w:tc>
              <w:tc>
                <w:tcPr>
                  <w:tcW w:w="1918"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7083</w:t>
                  </w:r>
                </w:p>
              </w:tc>
              <w:tc>
                <w:tcPr>
                  <w:tcW w:w="1706"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钢结构</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一层</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16</w:t>
                  </w:r>
                </w:p>
              </w:tc>
              <w:tc>
                <w:tcPr>
                  <w:tcW w:w="244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10#厂房</w:t>
                  </w:r>
                </w:p>
              </w:tc>
              <w:tc>
                <w:tcPr>
                  <w:tcW w:w="1918"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7083</w:t>
                  </w:r>
                </w:p>
              </w:tc>
              <w:tc>
                <w:tcPr>
                  <w:tcW w:w="1706"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钢结构</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一层</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17</w:t>
                  </w:r>
                </w:p>
              </w:tc>
              <w:tc>
                <w:tcPr>
                  <w:tcW w:w="244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门卫</w:t>
                  </w:r>
                </w:p>
              </w:tc>
              <w:tc>
                <w:tcPr>
                  <w:tcW w:w="1918"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255</w:t>
                  </w:r>
                </w:p>
              </w:tc>
              <w:tc>
                <w:tcPr>
                  <w:tcW w:w="1706"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框架结构</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一层</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18</w:t>
                  </w:r>
                </w:p>
              </w:tc>
              <w:tc>
                <w:tcPr>
                  <w:tcW w:w="244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配套用房</w:t>
                  </w:r>
                </w:p>
              </w:tc>
              <w:tc>
                <w:tcPr>
                  <w:tcW w:w="1918"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160</w:t>
                  </w:r>
                </w:p>
              </w:tc>
              <w:tc>
                <w:tcPr>
                  <w:tcW w:w="1706"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框架结构</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一层</w:t>
                  </w: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p>
              </w:tc>
              <w:tc>
                <w:tcPr>
                  <w:tcW w:w="2443"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合计</w:t>
                  </w:r>
                </w:p>
              </w:tc>
              <w:tc>
                <w:tcPr>
                  <w:tcW w:w="1918"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fldChar w:fldCharType="begin"/>
                  </w:r>
                  <w:r>
                    <w:rPr>
                      <w:rFonts w:ascii="Times New Roman" w:hAnsi="Times New Roman" w:cs="Times New Roman"/>
                      <w:kern w:val="0"/>
                      <w:sz w:val="21"/>
                      <w:szCs w:val="21"/>
                    </w:rPr>
                    <w:instrText xml:space="preserve"> =SUM(ABOVE) </w:instrText>
                  </w:r>
                  <w:r>
                    <w:rPr>
                      <w:rFonts w:ascii="Times New Roman" w:hAnsi="Times New Roman" w:cs="Times New Roman"/>
                      <w:kern w:val="0"/>
                      <w:sz w:val="21"/>
                      <w:szCs w:val="21"/>
                    </w:rPr>
                    <w:fldChar w:fldCharType="separate"/>
                  </w:r>
                  <w:r>
                    <w:rPr>
                      <w:rFonts w:ascii="Times New Roman" w:hAnsi="Times New Roman" w:cs="Times New Roman"/>
                      <w:kern w:val="0"/>
                      <w:sz w:val="21"/>
                      <w:szCs w:val="21"/>
                    </w:rPr>
                    <w:t>95211</w:t>
                  </w:r>
                  <w:r>
                    <w:rPr>
                      <w:rFonts w:ascii="Times New Roman" w:hAnsi="Times New Roman" w:cs="Times New Roman"/>
                      <w:kern w:val="0"/>
                      <w:sz w:val="21"/>
                      <w:szCs w:val="21"/>
                    </w:rPr>
                    <w:fldChar w:fldCharType="end"/>
                  </w:r>
                </w:p>
              </w:tc>
              <w:tc>
                <w:tcPr>
                  <w:tcW w:w="2706" w:type="dxa"/>
                  <w:gridSpan w:val="2"/>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p>
              </w:tc>
              <w:tc>
                <w:tcPr>
                  <w:tcW w:w="1000" w:type="dxa"/>
                  <w:shd w:val="clear" w:color="000000" w:fill="FFFFFF"/>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kern w:val="0"/>
                      <w:sz w:val="21"/>
                      <w:szCs w:val="21"/>
                    </w:rPr>
                  </w:pPr>
                </w:p>
              </w:tc>
            </w:tr>
            <w:bookmarkEnd w:id="0"/>
          </w:tbl>
          <w:p>
            <w:pPr>
              <w:adjustRightInd w:val="0"/>
              <w:snapToGrid w:val="0"/>
              <w:spacing w:line="560" w:lineRule="exact"/>
              <w:ind w:firstLine="0" w:firstLineChars="0"/>
              <w:jc w:val="center"/>
              <w:rPr>
                <w:rFonts w:ascii="Times New Roman" w:hAnsi="Times New Roman" w:eastAsia="黑体" w:cs="Times New Roman"/>
              </w:rPr>
            </w:pPr>
            <w:r>
              <w:rPr>
                <w:rFonts w:ascii="Times New Roman" w:hAnsi="Times New Roman" w:eastAsia="黑体" w:cs="Times New Roman"/>
              </w:rPr>
              <w:t>表7  附属设施建设情况一览表</w:t>
            </w:r>
          </w:p>
          <w:tbl>
            <w:tblPr>
              <w:tblStyle w:val="11"/>
              <w:tblW w:w="9070"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92"/>
              <w:gridCol w:w="568"/>
              <w:gridCol w:w="1560"/>
              <w:gridCol w:w="595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blHeader/>
                <w:jc w:val="center"/>
              </w:trPr>
              <w:tc>
                <w:tcPr>
                  <w:tcW w:w="992" w:type="dxa"/>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工程类</w:t>
                  </w:r>
                </w:p>
              </w:tc>
              <w:tc>
                <w:tcPr>
                  <w:tcW w:w="2128" w:type="dxa"/>
                  <w:gridSpan w:val="2"/>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工程名称</w:t>
                  </w:r>
                </w:p>
              </w:tc>
              <w:tc>
                <w:tcPr>
                  <w:tcW w:w="5950" w:type="dxa"/>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建设内容</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92" w:type="dxa"/>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主体工程</w:t>
                  </w:r>
                </w:p>
              </w:tc>
              <w:tc>
                <w:tcPr>
                  <w:tcW w:w="2128" w:type="dxa"/>
                  <w:gridSpan w:val="2"/>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生产车间</w:t>
                  </w:r>
                </w:p>
              </w:tc>
              <w:tc>
                <w:tcPr>
                  <w:tcW w:w="5950" w:type="dxa"/>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锂电池生产线</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92" w:type="dxa"/>
                  <w:vMerge w:val="restart"/>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辅助工程</w:t>
                  </w:r>
                </w:p>
              </w:tc>
              <w:tc>
                <w:tcPr>
                  <w:tcW w:w="2128" w:type="dxa"/>
                  <w:gridSpan w:val="2"/>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高纯水发生仪</w:t>
                  </w:r>
                </w:p>
              </w:tc>
              <w:tc>
                <w:tcPr>
                  <w:tcW w:w="5950" w:type="dxa"/>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设置纯水制备系统4套</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92" w:type="dxa"/>
                  <w:vMerge w:val="continue"/>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bCs/>
                      <w:sz w:val="21"/>
                      <w:szCs w:val="21"/>
                    </w:rPr>
                  </w:pPr>
                </w:p>
              </w:tc>
              <w:tc>
                <w:tcPr>
                  <w:tcW w:w="2128" w:type="dxa"/>
                  <w:gridSpan w:val="2"/>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真空系统</w:t>
                  </w:r>
                </w:p>
              </w:tc>
              <w:tc>
                <w:tcPr>
                  <w:tcW w:w="5950" w:type="dxa"/>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生产厂房内动力配套区域设置冷冻及真空系统16套</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92" w:type="dxa"/>
                  <w:vMerge w:val="continue"/>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bCs/>
                      <w:sz w:val="21"/>
                      <w:szCs w:val="21"/>
                    </w:rPr>
                  </w:pPr>
                </w:p>
              </w:tc>
              <w:tc>
                <w:tcPr>
                  <w:tcW w:w="2128" w:type="dxa"/>
                  <w:gridSpan w:val="2"/>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循环冷却水系统</w:t>
                  </w:r>
                </w:p>
              </w:tc>
              <w:tc>
                <w:tcPr>
                  <w:tcW w:w="5950" w:type="dxa"/>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生产厂房内动力配套区域设 1 台冷却塔，供给常温冷却水</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92" w:type="dxa"/>
                  <w:vMerge w:val="continue"/>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bCs/>
                      <w:sz w:val="21"/>
                      <w:szCs w:val="21"/>
                    </w:rPr>
                  </w:pPr>
                </w:p>
              </w:tc>
              <w:tc>
                <w:tcPr>
                  <w:tcW w:w="2128" w:type="dxa"/>
                  <w:gridSpan w:val="2"/>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空压系统</w:t>
                  </w:r>
                </w:p>
              </w:tc>
              <w:tc>
                <w:tcPr>
                  <w:tcW w:w="5950" w:type="dxa"/>
                  <w:tcBorders>
                    <w:top w:val="single" w:color="auto" w:sz="4" w:space="0"/>
                    <w:bottom w:val="single" w:color="auto" w:sz="4" w:space="0"/>
                  </w:tcBorders>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生产厂房内动力配套区域设空压站 1 个</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92" w:type="dxa"/>
                  <w:vMerge w:val="continue"/>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bCs/>
                      <w:sz w:val="21"/>
                      <w:szCs w:val="21"/>
                    </w:rPr>
                  </w:pPr>
                </w:p>
              </w:tc>
              <w:tc>
                <w:tcPr>
                  <w:tcW w:w="2128" w:type="dxa"/>
                  <w:gridSpan w:val="2"/>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制氮系统</w:t>
                  </w:r>
                </w:p>
              </w:tc>
              <w:tc>
                <w:tcPr>
                  <w:tcW w:w="5950" w:type="dxa"/>
                  <w:tcBorders>
                    <w:top w:val="single" w:color="auto" w:sz="4" w:space="0"/>
                  </w:tcBorders>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生产厂房内动力配套区域设制氮系统4套</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92" w:type="dxa"/>
                  <w:vMerge w:val="continue"/>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bCs/>
                      <w:sz w:val="21"/>
                      <w:szCs w:val="21"/>
                    </w:rPr>
                  </w:pPr>
                </w:p>
              </w:tc>
              <w:tc>
                <w:tcPr>
                  <w:tcW w:w="2128" w:type="dxa"/>
                  <w:gridSpan w:val="2"/>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除湿系统</w:t>
                  </w:r>
                </w:p>
              </w:tc>
              <w:tc>
                <w:tcPr>
                  <w:tcW w:w="5950" w:type="dxa"/>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生产厂房内动力配套区域设置除湿系统12套</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92" w:type="dxa"/>
                  <w:vMerge w:val="restart"/>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公用工程</w:t>
                  </w:r>
                </w:p>
              </w:tc>
              <w:tc>
                <w:tcPr>
                  <w:tcW w:w="2128" w:type="dxa"/>
                  <w:gridSpan w:val="2"/>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供水系统</w:t>
                  </w:r>
                </w:p>
              </w:tc>
              <w:tc>
                <w:tcPr>
                  <w:tcW w:w="5950" w:type="dxa"/>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用水来自六合经济技术开发区市政供水管网</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92" w:type="dxa"/>
                  <w:vMerge w:val="continue"/>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bCs/>
                      <w:sz w:val="21"/>
                      <w:szCs w:val="21"/>
                    </w:rPr>
                  </w:pPr>
                </w:p>
              </w:tc>
              <w:tc>
                <w:tcPr>
                  <w:tcW w:w="2128" w:type="dxa"/>
                  <w:gridSpan w:val="2"/>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排水系统</w:t>
                  </w:r>
                </w:p>
              </w:tc>
              <w:tc>
                <w:tcPr>
                  <w:tcW w:w="5950" w:type="dxa"/>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生产废水经过污水处理站达标后排入市政污水管网；厂区生活污水排至室外化粪池，预处理后排入市政污水管网</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92" w:type="dxa"/>
                  <w:vMerge w:val="continue"/>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bCs/>
                      <w:sz w:val="21"/>
                      <w:szCs w:val="21"/>
                    </w:rPr>
                  </w:pPr>
                </w:p>
              </w:tc>
              <w:tc>
                <w:tcPr>
                  <w:tcW w:w="2128" w:type="dxa"/>
                  <w:gridSpan w:val="2"/>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供电系统</w:t>
                  </w:r>
                </w:p>
              </w:tc>
              <w:tc>
                <w:tcPr>
                  <w:tcW w:w="5950" w:type="dxa"/>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设置配电房一座，由市政管网供给</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92" w:type="dxa"/>
                  <w:vMerge w:val="restart"/>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贮运工程</w:t>
                  </w:r>
                </w:p>
              </w:tc>
              <w:tc>
                <w:tcPr>
                  <w:tcW w:w="2128" w:type="dxa"/>
                  <w:gridSpan w:val="2"/>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原材料库房</w:t>
                  </w:r>
                </w:p>
              </w:tc>
              <w:tc>
                <w:tcPr>
                  <w:tcW w:w="5950" w:type="dxa"/>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生产厂房内动力配套区域设置原材料库房 1 个，用于储存除电解液、NMP 以外的其他原材料</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92" w:type="dxa"/>
                  <w:vMerge w:val="continue"/>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p>
              </w:tc>
              <w:tc>
                <w:tcPr>
                  <w:tcW w:w="2128" w:type="dxa"/>
                  <w:gridSpan w:val="2"/>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NMP 储罐区</w:t>
                  </w:r>
                </w:p>
              </w:tc>
              <w:tc>
                <w:tcPr>
                  <w:tcW w:w="5950" w:type="dxa"/>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生产厂房动力配套区域内设1 个新 NMP 储罐（50m</w:t>
                  </w:r>
                  <w:r>
                    <w:rPr>
                      <w:rFonts w:ascii="Times New Roman" w:hAnsi="Times New Roman" w:cs="Times New Roman"/>
                      <w:bCs/>
                      <w:sz w:val="21"/>
                      <w:szCs w:val="21"/>
                      <w:vertAlign w:val="superscript"/>
                    </w:rPr>
                    <w:t>3</w:t>
                  </w:r>
                  <w:r>
                    <w:rPr>
                      <w:rFonts w:ascii="Times New Roman" w:hAnsi="Times New Roman" w:cs="Times New Roman"/>
                      <w:bCs/>
                      <w:sz w:val="21"/>
                      <w:szCs w:val="21"/>
                    </w:rPr>
                    <w:t>）、1 个废 NMP 储罐（50m</w:t>
                  </w:r>
                  <w:r>
                    <w:rPr>
                      <w:rFonts w:ascii="Times New Roman" w:hAnsi="Times New Roman" w:cs="Times New Roman"/>
                      <w:bCs/>
                      <w:sz w:val="21"/>
                      <w:szCs w:val="21"/>
                      <w:vertAlign w:val="superscript"/>
                    </w:rPr>
                    <w:t>3</w:t>
                  </w:r>
                  <w:r>
                    <w:rPr>
                      <w:rFonts w:ascii="Times New Roman" w:hAnsi="Times New Roman" w:cs="Times New Roman"/>
                      <w:bCs/>
                      <w:sz w:val="21"/>
                      <w:szCs w:val="21"/>
                    </w:rPr>
                    <w:t>），均有氮封装置</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92" w:type="dxa"/>
                  <w:vMerge w:val="continue"/>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p>
              </w:tc>
              <w:tc>
                <w:tcPr>
                  <w:tcW w:w="2128" w:type="dxa"/>
                  <w:gridSpan w:val="2"/>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电解液储存间</w:t>
                  </w:r>
                </w:p>
              </w:tc>
              <w:tc>
                <w:tcPr>
                  <w:tcW w:w="5950" w:type="dxa"/>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生产厂房动力配套区域内设置电解液储存间 1 个</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92" w:type="dxa"/>
                  <w:vMerge w:val="continue"/>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p>
              </w:tc>
              <w:tc>
                <w:tcPr>
                  <w:tcW w:w="2128" w:type="dxa"/>
                  <w:gridSpan w:val="2"/>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成品库</w:t>
                  </w:r>
                </w:p>
              </w:tc>
              <w:tc>
                <w:tcPr>
                  <w:tcW w:w="5950" w:type="dxa"/>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生产厂房动力配套区域内设置成品库 1 个</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92" w:type="dxa"/>
                  <w:vMerge w:val="continue"/>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p>
              </w:tc>
              <w:tc>
                <w:tcPr>
                  <w:tcW w:w="2128" w:type="dxa"/>
                  <w:gridSpan w:val="2"/>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液氮储罐</w:t>
                  </w:r>
                </w:p>
              </w:tc>
              <w:tc>
                <w:tcPr>
                  <w:tcW w:w="5950" w:type="dxa"/>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氮气制备区设置50m</w:t>
                  </w:r>
                  <w:r>
                    <w:rPr>
                      <w:rFonts w:ascii="Times New Roman" w:hAnsi="Times New Roman" w:cs="Times New Roman"/>
                      <w:bCs/>
                      <w:sz w:val="21"/>
                      <w:szCs w:val="21"/>
                      <w:vertAlign w:val="superscript"/>
                    </w:rPr>
                    <w:t>3</w:t>
                  </w:r>
                  <w:r>
                    <w:rPr>
                      <w:rFonts w:ascii="Times New Roman" w:hAnsi="Times New Roman" w:cs="Times New Roman"/>
                      <w:bCs/>
                      <w:sz w:val="21"/>
                      <w:szCs w:val="21"/>
                    </w:rPr>
                    <w:t>液氮储罐1个</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92" w:type="dxa"/>
                  <w:vMerge w:val="restart"/>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环保工程</w:t>
                  </w:r>
                </w:p>
              </w:tc>
              <w:tc>
                <w:tcPr>
                  <w:tcW w:w="568" w:type="dxa"/>
                  <w:vMerge w:val="restart"/>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废水</w:t>
                  </w:r>
                </w:p>
              </w:tc>
              <w:tc>
                <w:tcPr>
                  <w:tcW w:w="1560" w:type="dxa"/>
                  <w:tcMar>
                    <w:top w:w="28" w:type="dxa"/>
                    <w:left w:w="28" w:type="dxa"/>
                    <w:bottom w:w="28" w:type="dxa"/>
                    <w:right w:w="28" w:type="dxa"/>
                  </w:tcMar>
                  <w:vAlign w:val="center"/>
                </w:tcPr>
                <w:p>
                  <w:pPr>
                    <w:kinsoku w:val="0"/>
                    <w:overflowPunct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生活污水预处理</w:t>
                  </w:r>
                </w:p>
              </w:tc>
              <w:tc>
                <w:tcPr>
                  <w:tcW w:w="5950" w:type="dxa"/>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厂区内设化粪池一座</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92" w:type="dxa"/>
                  <w:vMerge w:val="continue"/>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p>
              </w:tc>
              <w:tc>
                <w:tcPr>
                  <w:tcW w:w="568" w:type="dxa"/>
                  <w:vMerge w:val="continue"/>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p>
              </w:tc>
              <w:tc>
                <w:tcPr>
                  <w:tcW w:w="1560" w:type="dxa"/>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废水处理站</w:t>
                  </w:r>
                </w:p>
              </w:tc>
              <w:tc>
                <w:tcPr>
                  <w:tcW w:w="5950" w:type="dxa"/>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动力配套区域新建1座废水处理站</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92" w:type="dxa"/>
                  <w:vMerge w:val="continue"/>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bCs/>
                      <w:sz w:val="21"/>
                      <w:szCs w:val="21"/>
                    </w:rPr>
                  </w:pPr>
                </w:p>
              </w:tc>
              <w:tc>
                <w:tcPr>
                  <w:tcW w:w="568" w:type="dxa"/>
                  <w:vMerge w:val="restart"/>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废气</w:t>
                  </w:r>
                </w:p>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处理</w:t>
                  </w:r>
                </w:p>
              </w:tc>
              <w:tc>
                <w:tcPr>
                  <w:tcW w:w="1560" w:type="dxa"/>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粉尘废气</w:t>
                  </w:r>
                </w:p>
              </w:tc>
              <w:tc>
                <w:tcPr>
                  <w:tcW w:w="5950" w:type="dxa"/>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布袋过滤，除尘效率＞99%</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92" w:type="dxa"/>
                  <w:vMerge w:val="continue"/>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bCs/>
                      <w:sz w:val="21"/>
                      <w:szCs w:val="21"/>
                    </w:rPr>
                  </w:pPr>
                </w:p>
              </w:tc>
              <w:tc>
                <w:tcPr>
                  <w:tcW w:w="568" w:type="dxa"/>
                  <w:vMerge w:val="continue"/>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p>
              </w:tc>
              <w:tc>
                <w:tcPr>
                  <w:tcW w:w="1560" w:type="dxa"/>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NMP 废气</w:t>
                  </w:r>
                </w:p>
              </w:tc>
              <w:tc>
                <w:tcPr>
                  <w:tcW w:w="5950" w:type="dxa"/>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NMP 废气回收装置，回收效率98%以上</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92" w:type="dxa"/>
                  <w:vMerge w:val="continue"/>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bCs/>
                      <w:sz w:val="21"/>
                      <w:szCs w:val="21"/>
                    </w:rPr>
                  </w:pPr>
                </w:p>
              </w:tc>
              <w:tc>
                <w:tcPr>
                  <w:tcW w:w="2128" w:type="dxa"/>
                  <w:gridSpan w:val="2"/>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噪声治理</w:t>
                  </w:r>
                </w:p>
              </w:tc>
              <w:tc>
                <w:tcPr>
                  <w:tcW w:w="5950" w:type="dxa"/>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高噪声设备进行减震、隔声、消声等</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92" w:type="dxa"/>
                  <w:vMerge w:val="continue"/>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bCs/>
                      <w:sz w:val="21"/>
                      <w:szCs w:val="21"/>
                    </w:rPr>
                  </w:pPr>
                </w:p>
              </w:tc>
              <w:tc>
                <w:tcPr>
                  <w:tcW w:w="2128" w:type="dxa"/>
                  <w:gridSpan w:val="2"/>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事故池</w:t>
                  </w:r>
                </w:p>
              </w:tc>
              <w:tc>
                <w:tcPr>
                  <w:tcW w:w="5950" w:type="dxa"/>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设置1座690m</w:t>
                  </w:r>
                  <w:r>
                    <w:rPr>
                      <w:rFonts w:ascii="Times New Roman" w:hAnsi="Times New Roman" w:cs="Times New Roman"/>
                      <w:bCs/>
                      <w:sz w:val="21"/>
                      <w:szCs w:val="21"/>
                      <w:vertAlign w:val="superscript"/>
                    </w:rPr>
                    <w:t>3</w:t>
                  </w:r>
                  <w:r>
                    <w:rPr>
                      <w:rFonts w:ascii="Times New Roman" w:hAnsi="Times New Roman" w:cs="Times New Roman"/>
                      <w:bCs/>
                      <w:sz w:val="21"/>
                      <w:szCs w:val="21"/>
                    </w:rPr>
                    <w:t>的事故池</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92" w:type="dxa"/>
                  <w:vMerge w:val="continue"/>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bCs/>
                      <w:sz w:val="21"/>
                      <w:szCs w:val="21"/>
                    </w:rPr>
                  </w:pPr>
                </w:p>
              </w:tc>
              <w:tc>
                <w:tcPr>
                  <w:tcW w:w="2128" w:type="dxa"/>
                  <w:gridSpan w:val="2"/>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一般废物暂存库</w:t>
                  </w:r>
                </w:p>
              </w:tc>
              <w:tc>
                <w:tcPr>
                  <w:tcW w:w="5950" w:type="dxa"/>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在厂房内动力配套区域设 1 个一般废物暂存库，面积 60m</w:t>
                  </w:r>
                  <w:r>
                    <w:rPr>
                      <w:rFonts w:ascii="Times New Roman" w:hAnsi="Times New Roman" w:cs="Times New Roman"/>
                      <w:bCs/>
                      <w:sz w:val="21"/>
                      <w:szCs w:val="21"/>
                      <w:vertAlign w:val="superscript"/>
                    </w:rPr>
                    <w:t>2</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92" w:type="dxa"/>
                  <w:vMerge w:val="continue"/>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bCs/>
                      <w:sz w:val="21"/>
                      <w:szCs w:val="21"/>
                    </w:rPr>
                  </w:pPr>
                </w:p>
              </w:tc>
              <w:tc>
                <w:tcPr>
                  <w:tcW w:w="2128" w:type="dxa"/>
                  <w:gridSpan w:val="2"/>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危废暂存库</w:t>
                  </w:r>
                </w:p>
              </w:tc>
              <w:tc>
                <w:tcPr>
                  <w:tcW w:w="5950" w:type="dxa"/>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在厂房内动力配套区域设危险废物暂存库，面积 66m</w:t>
                  </w:r>
                  <w:r>
                    <w:rPr>
                      <w:rFonts w:ascii="Times New Roman" w:hAnsi="Times New Roman" w:cs="Times New Roman"/>
                      <w:bCs/>
                      <w:sz w:val="21"/>
                      <w:szCs w:val="21"/>
                      <w:vertAlign w:val="superscript"/>
                    </w:rPr>
                    <w:t>2</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92" w:type="dxa"/>
                  <w:tcMar>
                    <w:top w:w="28" w:type="dxa"/>
                    <w:left w:w="28" w:type="dxa"/>
                    <w:bottom w:w="28" w:type="dxa"/>
                    <w:right w:w="28" w:type="dxa"/>
                  </w:tcMar>
                  <w:vAlign w:val="center"/>
                </w:tcPr>
                <w:p>
                  <w:pPr>
                    <w:widowControl/>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办公生活</w:t>
                  </w:r>
                </w:p>
              </w:tc>
              <w:tc>
                <w:tcPr>
                  <w:tcW w:w="2128" w:type="dxa"/>
                  <w:gridSpan w:val="2"/>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办公</w:t>
                  </w:r>
                </w:p>
              </w:tc>
              <w:tc>
                <w:tcPr>
                  <w:tcW w:w="5950" w:type="dxa"/>
                  <w:tcMar>
                    <w:top w:w="28" w:type="dxa"/>
                    <w:left w:w="28" w:type="dxa"/>
                    <w:bottom w:w="28" w:type="dxa"/>
                    <w:right w:w="28" w:type="dxa"/>
                  </w:tcMar>
                  <w:vAlign w:val="center"/>
                </w:tcPr>
                <w:p>
                  <w:pPr>
                    <w:overflowPunct w:val="0"/>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办公楼</w:t>
                  </w:r>
                </w:p>
              </w:tc>
            </w:tr>
          </w:tbl>
          <w:p>
            <w:pPr>
              <w:spacing w:line="440" w:lineRule="exact"/>
              <w:ind w:firstLine="480"/>
              <w:rPr>
                <w:rFonts w:ascii="Times New Roman" w:hAnsi="Times New Roman" w:cs="Times New Roman"/>
              </w:rPr>
            </w:pPr>
            <w:r>
              <w:rPr>
                <w:rFonts w:ascii="Times New Roman" w:hAnsi="Times New Roman" w:cs="Times New Roman"/>
              </w:rPr>
              <w:t>3、建设周期</w:t>
            </w:r>
          </w:p>
          <w:p>
            <w:pPr>
              <w:spacing w:line="440" w:lineRule="exact"/>
              <w:ind w:firstLine="480"/>
              <w:rPr>
                <w:rFonts w:ascii="Times New Roman" w:hAnsi="Times New Roman" w:cs="Times New Roman"/>
              </w:rPr>
            </w:pPr>
            <w:r>
              <w:rPr>
                <w:rFonts w:ascii="Times New Roman" w:hAnsi="Times New Roman" w:cs="Times New Roman"/>
              </w:rPr>
              <w:t>项目建设期为12月，计划于2018年5月开工建设。</w:t>
            </w:r>
          </w:p>
          <w:p>
            <w:pPr>
              <w:spacing w:line="440" w:lineRule="exact"/>
              <w:ind w:firstLine="480"/>
              <w:rPr>
                <w:rFonts w:ascii="Times New Roman" w:hAnsi="Times New Roman" w:cs="Times New Roman"/>
              </w:rPr>
            </w:pPr>
            <w:r>
              <w:rPr>
                <w:rFonts w:ascii="Times New Roman" w:hAnsi="Times New Roman" w:cs="Times New Roman"/>
              </w:rPr>
              <w:t>4、周边环境情况</w:t>
            </w:r>
          </w:p>
          <w:p>
            <w:pPr>
              <w:spacing w:line="440" w:lineRule="exact"/>
              <w:ind w:firstLine="480"/>
              <w:rPr>
                <w:rFonts w:ascii="Times New Roman" w:hAnsi="Times New Roman" w:cs="Times New Roman"/>
              </w:rPr>
            </w:pPr>
            <w:r>
              <w:rPr>
                <w:rFonts w:ascii="Times New Roman" w:hAnsi="Times New Roman" w:cs="Times New Roman"/>
                <w:bCs/>
              </w:rPr>
              <w:t>项目位于南京六合区六新路以北，龙须湖路以东，新港湾路以西，虎跃西路以南。东邻龙须湖路、西侧与南侧为空地、北邻江苏钜源机械有限公司，项目周边环境详见附图2。</w:t>
            </w:r>
          </w:p>
          <w:p>
            <w:pPr>
              <w:spacing w:line="440" w:lineRule="exact"/>
              <w:ind w:firstLine="480"/>
              <w:rPr>
                <w:rFonts w:ascii="Times New Roman" w:hAnsi="Times New Roman" w:cs="Times New Roman"/>
              </w:rPr>
            </w:pPr>
            <w:r>
              <w:rPr>
                <w:rFonts w:ascii="Times New Roman" w:hAnsi="Times New Roman" w:cs="Times New Roman"/>
              </w:rPr>
              <w:t>5、产业政策相符性</w:t>
            </w:r>
          </w:p>
          <w:p>
            <w:pPr>
              <w:spacing w:line="440" w:lineRule="exact"/>
              <w:ind w:firstLine="480"/>
              <w:rPr>
                <w:rFonts w:ascii="Times New Roman" w:hAnsi="Times New Roman" w:cs="Times New Roman"/>
              </w:rPr>
            </w:pPr>
            <w:r>
              <w:rPr>
                <w:rFonts w:ascii="Times New Roman" w:hAnsi="Times New Roman" w:cs="Times New Roman"/>
              </w:rPr>
              <w:t>项目为</w:t>
            </w:r>
            <w:r>
              <w:rPr>
                <w:rFonts w:ascii="Times New Roman" w:hAnsi="Times New Roman" w:cs="Times New Roman"/>
                <w:bCs/>
              </w:rPr>
              <w:t>锂离子电池制造</w:t>
            </w:r>
            <w:r>
              <w:rPr>
                <w:rFonts w:ascii="Times New Roman" w:hAnsi="Times New Roman" w:cs="Times New Roman"/>
              </w:rPr>
              <w:t>，属于《产业结构调整指导目录（2011年本，2013年修正）》、《江苏省工业和信息产业结构调整指导目录（2012年本，2013年修正）》鼓励类项目，符合国家及地方产业政策。</w:t>
            </w:r>
          </w:p>
          <w:p>
            <w:pPr>
              <w:spacing w:line="440" w:lineRule="exact"/>
              <w:ind w:firstLine="480"/>
              <w:rPr>
                <w:rFonts w:ascii="Times New Roman" w:hAnsi="Times New Roman" w:cs="Times New Roman"/>
              </w:rPr>
            </w:pPr>
            <w:r>
              <w:rPr>
                <w:rFonts w:ascii="Times New Roman" w:hAnsi="Times New Roman" w:cs="Times New Roman"/>
              </w:rPr>
              <w:t>6、规划相符性</w:t>
            </w:r>
          </w:p>
          <w:p>
            <w:pPr>
              <w:spacing w:line="440" w:lineRule="exact"/>
              <w:ind w:firstLine="480"/>
              <w:rPr>
                <w:rFonts w:ascii="Times New Roman" w:hAnsi="Times New Roman" w:cs="Times New Roman"/>
                <w:szCs w:val="24"/>
              </w:rPr>
            </w:pPr>
            <w:r>
              <w:rPr>
                <w:rFonts w:ascii="Times New Roman" w:hAnsi="Times New Roman" w:cs="Times New Roman"/>
                <w:bCs/>
              </w:rPr>
              <w:t>项目位于南京六合区六新路以北，龙须湖路以东，新港湾路以西，虎跃西路以南。</w:t>
            </w:r>
            <w:r>
              <w:rPr>
                <w:rFonts w:ascii="Times New Roman" w:hAnsi="Times New Roman" w:cs="Times New Roman"/>
                <w:szCs w:val="24"/>
              </w:rPr>
              <w:t>根据《南京江北新区总体规划》（2014-2030），项目所在地为一类工业用地，项目建设内容为5GWh动力电池系统生产线及配套建设项目，选址符合规划要求。土地利用规划详见附图4。</w:t>
            </w:r>
          </w:p>
          <w:p>
            <w:pPr>
              <w:spacing w:line="440" w:lineRule="exact"/>
              <w:ind w:firstLine="480"/>
              <w:rPr>
                <w:rFonts w:ascii="Times New Roman" w:hAnsi="Times New Roman" w:cs="Times New Roman"/>
                <w:szCs w:val="24"/>
              </w:rPr>
            </w:pPr>
            <w:r>
              <w:rPr>
                <w:rFonts w:ascii="Times New Roman" w:hAnsi="Times New Roman" w:cs="Times New Roman"/>
                <w:szCs w:val="24"/>
              </w:rPr>
              <w:t>7、“三线一单”相符性分析</w:t>
            </w:r>
          </w:p>
          <w:p>
            <w:pPr>
              <w:spacing w:line="440" w:lineRule="exact"/>
              <w:ind w:firstLine="480"/>
              <w:rPr>
                <w:rFonts w:ascii="Times New Roman" w:hAnsi="Times New Roman" w:cs="Times New Roman"/>
                <w:szCs w:val="24"/>
              </w:rPr>
            </w:pPr>
            <w:r>
              <w:rPr>
                <w:rFonts w:ascii="Times New Roman" w:hAnsi="Times New Roman" w:cs="Times New Roman"/>
                <w:szCs w:val="24"/>
              </w:rPr>
              <w:t>（1）生态红线：根据《南京市生态红线区域保护规划》（宁政发[2014]74号），项目附近生态红线区域有城市生态公益林、六合国家地质公园，具体情况详见表8。</w:t>
            </w:r>
          </w:p>
          <w:p>
            <w:pPr>
              <w:adjustRightInd w:val="0"/>
              <w:snapToGrid w:val="0"/>
              <w:spacing w:line="560" w:lineRule="exact"/>
              <w:ind w:firstLine="0" w:firstLineChars="0"/>
              <w:jc w:val="center"/>
              <w:rPr>
                <w:rFonts w:ascii="Times New Roman" w:hAnsi="Times New Roman" w:eastAsia="黑体" w:cs="Times New Roman"/>
              </w:rPr>
            </w:pPr>
            <w:r>
              <w:rPr>
                <w:rFonts w:ascii="Times New Roman" w:hAnsi="Times New Roman" w:eastAsia="黑体" w:cs="Times New Roman"/>
              </w:rPr>
              <w:t>表8  项目附近生态红线区域明细表</w:t>
            </w:r>
          </w:p>
          <w:tbl>
            <w:tblPr>
              <w:tblStyle w:val="11"/>
              <w:tblW w:w="9070"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768"/>
              <w:gridCol w:w="707"/>
              <w:gridCol w:w="759"/>
              <w:gridCol w:w="3486"/>
              <w:gridCol w:w="581"/>
              <w:gridCol w:w="708"/>
              <w:gridCol w:w="70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1355" w:type="dxa"/>
                  <w:vMerge w:val="restart"/>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红线</w:t>
                  </w:r>
                </w:p>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区域名称</w:t>
                  </w:r>
                </w:p>
              </w:tc>
              <w:tc>
                <w:tcPr>
                  <w:tcW w:w="768" w:type="dxa"/>
                  <w:vMerge w:val="restart"/>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方位</w:t>
                  </w:r>
                </w:p>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距离</w:t>
                  </w:r>
                </w:p>
              </w:tc>
              <w:tc>
                <w:tcPr>
                  <w:tcW w:w="707" w:type="dxa"/>
                  <w:vMerge w:val="restart"/>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主导</w:t>
                  </w:r>
                </w:p>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生态</w:t>
                  </w:r>
                </w:p>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功能</w:t>
                  </w:r>
                </w:p>
              </w:tc>
              <w:tc>
                <w:tcPr>
                  <w:tcW w:w="4245" w:type="dxa"/>
                  <w:gridSpan w:val="2"/>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红线区域范围</w:t>
                  </w:r>
                </w:p>
              </w:tc>
              <w:tc>
                <w:tcPr>
                  <w:tcW w:w="1995" w:type="dxa"/>
                  <w:gridSpan w:val="3"/>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面积（km</w:t>
                  </w:r>
                  <w:r>
                    <w:rPr>
                      <w:rFonts w:ascii="Times New Roman" w:hAnsi="Times New Roman" w:cs="Times New Roman"/>
                      <w:sz w:val="21"/>
                      <w:szCs w:val="21"/>
                      <w:vertAlign w:val="superscript"/>
                    </w:rPr>
                    <w:t>2</w:t>
                  </w:r>
                  <w:r>
                    <w:rPr>
                      <w:rFonts w:ascii="Times New Roman" w:hAnsi="Times New Roman" w:cs="Times New Roman"/>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1355" w:type="dxa"/>
                  <w:vMerge w:val="continue"/>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p>
              </w:tc>
              <w:tc>
                <w:tcPr>
                  <w:tcW w:w="768" w:type="dxa"/>
                  <w:vMerge w:val="continue"/>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bCs/>
                      <w:sz w:val="21"/>
                      <w:szCs w:val="21"/>
                    </w:rPr>
                  </w:pPr>
                </w:p>
              </w:tc>
              <w:tc>
                <w:tcPr>
                  <w:tcW w:w="707" w:type="dxa"/>
                  <w:vMerge w:val="continue"/>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bCs/>
                      <w:sz w:val="21"/>
                      <w:szCs w:val="21"/>
                    </w:rPr>
                  </w:pPr>
                </w:p>
              </w:tc>
              <w:tc>
                <w:tcPr>
                  <w:tcW w:w="759"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一级</w:t>
                  </w:r>
                </w:p>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管控区</w:t>
                  </w:r>
                </w:p>
              </w:tc>
              <w:tc>
                <w:tcPr>
                  <w:tcW w:w="3486"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二级管控区</w:t>
                  </w:r>
                </w:p>
              </w:tc>
              <w:tc>
                <w:tcPr>
                  <w:tcW w:w="581"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总</w:t>
                  </w:r>
                </w:p>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面积</w:t>
                  </w:r>
                </w:p>
              </w:tc>
              <w:tc>
                <w:tcPr>
                  <w:tcW w:w="708"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一级</w:t>
                  </w:r>
                </w:p>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管控区</w:t>
                  </w:r>
                </w:p>
              </w:tc>
              <w:tc>
                <w:tcPr>
                  <w:tcW w:w="706"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二级</w:t>
                  </w:r>
                </w:p>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管控区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1355"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城市</w:t>
                  </w:r>
                </w:p>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生态公益林</w:t>
                  </w:r>
                </w:p>
              </w:tc>
              <w:tc>
                <w:tcPr>
                  <w:tcW w:w="768"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SE</w:t>
                  </w:r>
                </w:p>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2200m</w:t>
                  </w:r>
                </w:p>
              </w:tc>
              <w:tc>
                <w:tcPr>
                  <w:tcW w:w="707"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水土</w:t>
                  </w:r>
                </w:p>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保持</w:t>
                  </w:r>
                </w:p>
              </w:tc>
              <w:tc>
                <w:tcPr>
                  <w:tcW w:w="759"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Cs w:val="24"/>
                    </w:rPr>
                    <w:t>——</w:t>
                  </w:r>
                </w:p>
              </w:tc>
              <w:tc>
                <w:tcPr>
                  <w:tcW w:w="3486"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西以南京化学工业园规划的防护绿地为主体，向东沿四柳河两侧各500m建防护绿带，直到与滁河交汇。</w:t>
                  </w:r>
                </w:p>
              </w:tc>
              <w:tc>
                <w:tcPr>
                  <w:tcW w:w="581"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5.73</w:t>
                  </w:r>
                </w:p>
              </w:tc>
              <w:tc>
                <w:tcPr>
                  <w:tcW w:w="708"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706"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5.73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1355"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六合</w:t>
                  </w:r>
                </w:p>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国家地质公园</w:t>
                  </w:r>
                </w:p>
              </w:tc>
              <w:tc>
                <w:tcPr>
                  <w:tcW w:w="768"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E</w:t>
                  </w:r>
                </w:p>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8900</w:t>
                  </w:r>
                </w:p>
              </w:tc>
              <w:tc>
                <w:tcPr>
                  <w:tcW w:w="707"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地质遗迹保护</w:t>
                  </w:r>
                </w:p>
              </w:tc>
              <w:tc>
                <w:tcPr>
                  <w:tcW w:w="759"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Cs w:val="24"/>
                    </w:rPr>
                    <w:t>——</w:t>
                  </w:r>
                </w:p>
              </w:tc>
              <w:tc>
                <w:tcPr>
                  <w:tcW w:w="3486"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灵岩山、桂子山、瓜埠山、方山、马头山、横山等山体山脚线。</w:t>
                  </w:r>
                </w:p>
              </w:tc>
              <w:tc>
                <w:tcPr>
                  <w:tcW w:w="581"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13.04</w:t>
                  </w:r>
                </w:p>
              </w:tc>
              <w:tc>
                <w:tcPr>
                  <w:tcW w:w="708"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Cs w:val="24"/>
                    </w:rPr>
                    <w:t>——</w:t>
                  </w:r>
                </w:p>
              </w:tc>
              <w:tc>
                <w:tcPr>
                  <w:tcW w:w="706"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13.04</w:t>
                  </w:r>
                </w:p>
              </w:tc>
            </w:tr>
          </w:tbl>
          <w:p>
            <w:pPr>
              <w:spacing w:line="440" w:lineRule="exact"/>
              <w:ind w:firstLine="480"/>
              <w:jc w:val="left"/>
              <w:rPr>
                <w:rFonts w:ascii="Times New Roman" w:hAnsi="Times New Roman" w:cs="Times New Roman"/>
              </w:rPr>
            </w:pPr>
            <w:r>
              <w:rPr>
                <w:rFonts w:ascii="Times New Roman" w:hAnsi="Times New Roman" w:cs="Times New Roman"/>
              </w:rPr>
              <w:t>项目不在</w:t>
            </w:r>
            <w:r>
              <w:rPr>
                <w:rFonts w:ascii="Times New Roman" w:hAnsi="Times New Roman" w:cs="Times New Roman"/>
                <w:szCs w:val="24"/>
              </w:rPr>
              <w:t>城市生态公益林、六合国家地质公园的</w:t>
            </w:r>
            <w:r>
              <w:rPr>
                <w:rFonts w:ascii="Times New Roman" w:hAnsi="Times New Roman" w:cs="Times New Roman"/>
              </w:rPr>
              <w:t>保护范围内，并且相距甚远，符合《南京市生态红线区域保护规划》</w:t>
            </w:r>
            <w:r>
              <w:rPr>
                <w:rFonts w:ascii="Times New Roman" w:hAnsi="Times New Roman" w:cs="Times New Roman"/>
                <w:szCs w:val="24"/>
              </w:rPr>
              <w:t>（宁政发[2014]74号）</w:t>
            </w:r>
            <w:r>
              <w:rPr>
                <w:rFonts w:ascii="Times New Roman" w:hAnsi="Times New Roman" w:cs="Times New Roman"/>
              </w:rPr>
              <w:t>要求。</w:t>
            </w:r>
          </w:p>
          <w:p>
            <w:pPr>
              <w:spacing w:line="440" w:lineRule="exact"/>
              <w:ind w:firstLine="480"/>
              <w:jc w:val="left"/>
              <w:rPr>
                <w:rFonts w:ascii="Times New Roman" w:hAnsi="Times New Roman" w:cs="Times New Roman"/>
              </w:rPr>
            </w:pPr>
            <w:r>
              <w:rPr>
                <w:rFonts w:ascii="Times New Roman" w:hAnsi="Times New Roman" w:cs="Times New Roman"/>
              </w:rPr>
              <w:t>（2）环境质量底线：项目所在地大气、水、声环境质量良好。项目运营期产生的废气、废水均得到合理处理，能够达标排放，并且污染物的排放量较少，不会突破当地的环境质量底线。</w:t>
            </w:r>
          </w:p>
          <w:p>
            <w:pPr>
              <w:spacing w:line="440" w:lineRule="exact"/>
              <w:ind w:firstLine="480"/>
              <w:jc w:val="left"/>
              <w:rPr>
                <w:rFonts w:ascii="Times New Roman" w:hAnsi="Times New Roman" w:cs="Times New Roman"/>
              </w:rPr>
            </w:pPr>
            <w:r>
              <w:rPr>
                <w:rFonts w:ascii="Times New Roman" w:hAnsi="Times New Roman" w:cs="Times New Roman"/>
              </w:rPr>
              <w:t>（3）资源利用上线：项目运营期间会消耗一定的水、电，项目采用节能措施，综合能耗符合国家标准要求，不会突破当地的水、电资源利用上线。</w:t>
            </w:r>
          </w:p>
          <w:p>
            <w:pPr>
              <w:spacing w:line="440" w:lineRule="exact"/>
              <w:ind w:firstLine="480"/>
              <w:jc w:val="left"/>
              <w:rPr>
                <w:rFonts w:ascii="Times New Roman" w:hAnsi="Times New Roman" w:cs="Times New Roman"/>
              </w:rPr>
            </w:pPr>
            <w:r>
              <w:rPr>
                <w:rFonts w:ascii="Times New Roman" w:hAnsi="Times New Roman" w:cs="Times New Roman"/>
              </w:rPr>
              <w:t>（4）环境准入负面清单：项目为</w:t>
            </w:r>
            <w:r>
              <w:rPr>
                <w:rFonts w:ascii="Times New Roman" w:hAnsi="Times New Roman" w:cs="Times New Roman"/>
                <w:bCs/>
              </w:rPr>
              <w:t>锂离子电池制造，</w:t>
            </w:r>
            <w:r>
              <w:rPr>
                <w:rFonts w:ascii="Times New Roman" w:hAnsi="Times New Roman" w:cs="Times New Roman"/>
              </w:rPr>
              <w:t>符合《南京市建设项目环境准入暂行规定》（宁政发【2015】251号）有关要求。</w:t>
            </w:r>
          </w:p>
          <w:p>
            <w:pPr>
              <w:spacing w:line="440" w:lineRule="exact"/>
              <w:ind w:firstLine="480"/>
              <w:jc w:val="left"/>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trHeight w:val="1227" w:hRule="atLeast"/>
          <w:jc w:val="center"/>
        </w:trPr>
        <w:tc>
          <w:tcPr>
            <w:tcW w:w="9126" w:type="dxa"/>
            <w:gridSpan w:val="11"/>
            <w:tcMar>
              <w:top w:w="28" w:type="dxa"/>
              <w:left w:w="28" w:type="dxa"/>
              <w:bottom w:w="28" w:type="dxa"/>
              <w:right w:w="28" w:type="dxa"/>
            </w:tcMar>
          </w:tcPr>
          <w:p>
            <w:pPr>
              <w:spacing w:before="60" w:beforeLines="25" w:after="60" w:afterLines="25" w:line="240" w:lineRule="auto"/>
              <w:ind w:firstLine="0" w:firstLineChars="0"/>
              <w:rPr>
                <w:rFonts w:ascii="Times New Roman" w:hAnsi="Times New Roman" w:cs="Times New Roman"/>
                <w:b/>
              </w:rPr>
            </w:pPr>
            <w:r>
              <w:rPr>
                <w:rFonts w:ascii="Times New Roman" w:hAnsi="Times New Roman" w:cs="Times New Roman"/>
                <w:b/>
              </w:rPr>
              <w:t>与项目有关的原有污染情况及主要环境问题:</w:t>
            </w:r>
          </w:p>
          <w:p>
            <w:pPr>
              <w:spacing w:before="78" w:after="78" w:line="440" w:lineRule="exact"/>
              <w:ind w:firstLine="480"/>
              <w:rPr>
                <w:rFonts w:ascii="Times New Roman" w:hAnsi="Times New Roman" w:cs="Times New Roman"/>
              </w:rPr>
            </w:pPr>
            <w:r>
              <w:rPr>
                <w:rFonts w:ascii="Times New Roman" w:hAnsi="Times New Roman" w:cs="Times New Roman"/>
              </w:rPr>
              <w:t>项目为新建项目，没有与之相关的原有污染情况及主要环境问题。</w:t>
            </w:r>
          </w:p>
          <w:p>
            <w:pPr>
              <w:spacing w:before="78" w:after="78" w:line="440" w:lineRule="exact"/>
              <w:ind w:firstLine="480"/>
              <w:rPr>
                <w:rFonts w:ascii="Times New Roman" w:hAnsi="Times New Roman" w:cs="Times New Roman"/>
              </w:rPr>
            </w:pPr>
          </w:p>
          <w:p>
            <w:pPr>
              <w:spacing w:before="78" w:after="78" w:line="440" w:lineRule="exact"/>
              <w:ind w:firstLine="480"/>
              <w:rPr>
                <w:rFonts w:ascii="Times New Roman" w:hAnsi="Times New Roman" w:cs="Times New Roman"/>
              </w:rPr>
            </w:pPr>
          </w:p>
          <w:p>
            <w:pPr>
              <w:spacing w:before="78" w:after="78" w:line="440" w:lineRule="exact"/>
              <w:ind w:firstLine="480"/>
              <w:rPr>
                <w:rFonts w:ascii="Times New Roman" w:hAnsi="Times New Roman" w:cs="Times New Roman"/>
              </w:rPr>
            </w:pPr>
          </w:p>
          <w:p>
            <w:pPr>
              <w:spacing w:before="78" w:after="78" w:line="440" w:lineRule="exact"/>
              <w:ind w:firstLine="480"/>
              <w:rPr>
                <w:rFonts w:ascii="Times New Roman" w:hAnsi="Times New Roman" w:cs="Times New Roman"/>
              </w:rPr>
            </w:pPr>
          </w:p>
          <w:p>
            <w:pPr>
              <w:spacing w:before="78" w:after="78" w:line="440" w:lineRule="exact"/>
              <w:ind w:firstLine="480"/>
              <w:rPr>
                <w:rFonts w:ascii="Times New Roman" w:hAnsi="Times New Roman" w:cs="Times New Roman"/>
              </w:rPr>
            </w:pPr>
          </w:p>
          <w:p>
            <w:pPr>
              <w:spacing w:before="78" w:after="78" w:line="440" w:lineRule="exact"/>
              <w:ind w:firstLine="480"/>
              <w:rPr>
                <w:rFonts w:ascii="Times New Roman" w:hAnsi="Times New Roman" w:cs="Times New Roman"/>
              </w:rPr>
            </w:pPr>
          </w:p>
          <w:p>
            <w:pPr>
              <w:spacing w:before="78" w:after="78" w:line="440" w:lineRule="exact"/>
              <w:ind w:firstLine="480"/>
              <w:rPr>
                <w:rFonts w:ascii="Times New Roman" w:hAnsi="Times New Roman" w:cs="Times New Roman"/>
              </w:rPr>
            </w:pPr>
          </w:p>
          <w:p>
            <w:pPr>
              <w:spacing w:before="78" w:after="78" w:line="440" w:lineRule="exact"/>
              <w:ind w:firstLine="480"/>
              <w:rPr>
                <w:rFonts w:ascii="Times New Roman" w:hAnsi="Times New Roman" w:cs="Times New Roman"/>
              </w:rPr>
            </w:pPr>
          </w:p>
          <w:p>
            <w:pPr>
              <w:spacing w:before="78" w:after="78" w:line="440" w:lineRule="exact"/>
              <w:ind w:firstLine="480"/>
              <w:rPr>
                <w:rFonts w:ascii="Times New Roman" w:hAnsi="Times New Roman" w:cs="Times New Roman"/>
              </w:rPr>
            </w:pPr>
          </w:p>
          <w:p>
            <w:pPr>
              <w:spacing w:before="78" w:after="78" w:line="440" w:lineRule="exact"/>
              <w:ind w:firstLine="480"/>
              <w:rPr>
                <w:rFonts w:ascii="Times New Roman" w:hAnsi="Times New Roman" w:cs="Times New Roman"/>
              </w:rPr>
            </w:pPr>
          </w:p>
          <w:p>
            <w:pPr>
              <w:spacing w:before="78" w:after="78" w:line="440" w:lineRule="exact"/>
              <w:ind w:firstLine="480"/>
              <w:rPr>
                <w:rFonts w:ascii="Times New Roman" w:hAnsi="Times New Roman" w:cs="Times New Roman"/>
              </w:rPr>
            </w:pPr>
          </w:p>
          <w:p>
            <w:pPr>
              <w:spacing w:before="78" w:after="78" w:line="440" w:lineRule="exact"/>
              <w:ind w:firstLine="480"/>
              <w:rPr>
                <w:rFonts w:ascii="Times New Roman" w:hAnsi="Times New Roman" w:cs="Times New Roman"/>
              </w:rPr>
            </w:pPr>
          </w:p>
          <w:p>
            <w:pPr>
              <w:spacing w:before="78" w:after="78" w:line="440" w:lineRule="exact"/>
              <w:ind w:firstLine="480"/>
              <w:rPr>
                <w:rFonts w:ascii="Times New Roman" w:hAnsi="Times New Roman" w:cs="Times New Roman"/>
              </w:rPr>
            </w:pPr>
          </w:p>
          <w:p>
            <w:pPr>
              <w:spacing w:before="78" w:after="78" w:line="440" w:lineRule="exact"/>
              <w:ind w:firstLine="480"/>
              <w:rPr>
                <w:rFonts w:ascii="Times New Roman" w:hAnsi="Times New Roman" w:cs="Times New Roman"/>
              </w:rPr>
            </w:pPr>
            <w:r>
              <w:rPr>
                <w:rFonts w:ascii="Times New Roman" w:hAnsi="Times New Roman" w:cs="Times New Roman"/>
              </w:rPr>
              <w:t xml:space="preserve">                                 </w:t>
            </w:r>
          </w:p>
          <w:p>
            <w:pPr>
              <w:spacing w:before="78" w:after="78" w:line="440" w:lineRule="exact"/>
              <w:ind w:firstLine="480"/>
              <w:rPr>
                <w:rFonts w:ascii="Times New Roman" w:hAnsi="Times New Roman" w:cs="Times New Roman"/>
              </w:rPr>
            </w:pPr>
          </w:p>
        </w:tc>
      </w:tr>
    </w:tbl>
    <w:p>
      <w:pPr>
        <w:pStyle w:val="2"/>
        <w:jc w:val="left"/>
        <w:rPr>
          <w:rFonts w:ascii="Times New Roman" w:hAnsi="Times New Roman" w:cs="Times New Roman"/>
        </w:rPr>
      </w:pPr>
      <w:r>
        <w:rPr>
          <w:rFonts w:ascii="Times New Roman" w:hAnsi="Times New Roman" w:cs="Times New Roman"/>
        </w:rPr>
        <w:t>建设项目所在地自然环境社会环境简况</w:t>
      </w:r>
    </w:p>
    <w:tbl>
      <w:tblPr>
        <w:tblStyle w:val="11"/>
        <w:tblW w:w="912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60" w:hRule="atLeast"/>
          <w:jc w:val="center"/>
        </w:trPr>
        <w:tc>
          <w:tcPr>
            <w:tcW w:w="9126" w:type="dxa"/>
            <w:tcBorders>
              <w:bottom w:val="single" w:color="auto" w:sz="4" w:space="0"/>
            </w:tcBorders>
            <w:tcMar>
              <w:top w:w="28" w:type="dxa"/>
              <w:left w:w="28" w:type="dxa"/>
              <w:bottom w:w="28" w:type="dxa"/>
              <w:right w:w="28" w:type="dxa"/>
            </w:tcMar>
          </w:tcPr>
          <w:p>
            <w:pPr>
              <w:spacing w:before="60" w:beforeLines="25" w:after="60" w:afterLines="25" w:line="240" w:lineRule="auto"/>
              <w:ind w:firstLine="0" w:firstLineChars="0"/>
              <w:rPr>
                <w:rFonts w:ascii="Times New Roman" w:hAnsi="Times New Roman" w:cs="Times New Roman"/>
                <w:b/>
              </w:rPr>
            </w:pPr>
            <w:r>
              <w:rPr>
                <w:rFonts w:ascii="Times New Roman" w:hAnsi="Times New Roman" w:cs="Times New Roman"/>
                <w:b/>
              </w:rPr>
              <w:t>自然环境简况（地形、地貌、地质、气候、气象、水文、植被、生物多样性等）：</w:t>
            </w:r>
          </w:p>
          <w:p>
            <w:pPr>
              <w:snapToGrid w:val="0"/>
              <w:spacing w:line="440" w:lineRule="exact"/>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1、地形、地貌、地质</w:t>
            </w:r>
          </w:p>
          <w:p>
            <w:pPr>
              <w:snapToGrid w:val="0"/>
              <w:spacing w:line="440" w:lineRule="exact"/>
              <w:ind w:firstLine="480"/>
              <w:jc w:val="left"/>
              <w:rPr>
                <w:rFonts w:ascii="Times New Roman" w:hAnsi="Times New Roman" w:cs="Times New Roman"/>
              </w:rPr>
            </w:pPr>
            <w:r>
              <w:rPr>
                <w:rFonts w:ascii="Times New Roman" w:hAnsi="Times New Roman" w:cs="Times New Roman"/>
                <w:snapToGrid w:val="0"/>
                <w:kern w:val="0"/>
                <w:szCs w:val="24"/>
              </w:rPr>
              <w:t>项目所在区域起伏平缓，地形较为平坦，为近代长江冲淤作用堆积形成的河漫滩平原，地势低平，河渠及沟塘密布。地貌特征属宁镇扬丘陵地区，以低山缓岗为主。大地构造单元上位于扬子断块区的下扬子断块，基底由中上元古界浅变质岩系组成，盖层由华南型古生界及中、新生界地层组成。</w:t>
            </w:r>
          </w:p>
          <w:p>
            <w:pPr>
              <w:snapToGrid w:val="0"/>
              <w:spacing w:line="440" w:lineRule="exact"/>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2、气候、气象</w:t>
            </w:r>
          </w:p>
          <w:p>
            <w:pPr>
              <w:snapToGrid w:val="0"/>
              <w:spacing w:line="440" w:lineRule="exact"/>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南京属北亚热带季风气候区，气候温和、四季分明、雨量适中。全年无霜期222～224d，年日照1987～2170h，年均气温15.4℃、平均降雨量1073.8mm、相对湿度77%、年均气压1015.5mb，年均风速2.2m/s，冬季主导风向NE、夏季主导风向SE。</w:t>
            </w:r>
          </w:p>
          <w:p>
            <w:pPr>
              <w:pStyle w:val="6"/>
              <w:spacing w:line="440" w:lineRule="exact"/>
              <w:rPr>
                <w:rFonts w:ascii="Times New Roman" w:hAnsi="Times New Roman" w:cs="Times New Roman"/>
              </w:rPr>
            </w:pPr>
            <w:r>
              <w:rPr>
                <w:rFonts w:ascii="Times New Roman" w:hAnsi="Times New Roman" w:cs="Times New Roman"/>
                <w:snapToGrid w:val="0"/>
                <w:kern w:val="0"/>
                <w:szCs w:val="24"/>
              </w:rPr>
              <w:t>3、</w:t>
            </w:r>
            <w:r>
              <w:rPr>
                <w:rFonts w:ascii="Times New Roman" w:hAnsi="Times New Roman" w:cs="Times New Roman"/>
              </w:rPr>
              <w:t>水文、水系</w:t>
            </w:r>
          </w:p>
          <w:p>
            <w:pPr>
              <w:pStyle w:val="4"/>
              <w:spacing w:line="440" w:lineRule="exact"/>
              <w:ind w:firstLine="480"/>
              <w:rPr>
                <w:rFonts w:ascii="Times New Roman" w:hAnsi="Times New Roman" w:cs="Times New Roman"/>
                <w:sz w:val="24"/>
              </w:rPr>
            </w:pPr>
            <w:r>
              <w:rPr>
                <w:rFonts w:ascii="Times New Roman" w:hAnsi="Times New Roman" w:cs="Times New Roman"/>
                <w:sz w:val="24"/>
              </w:rPr>
              <w:t>长江与滁河是项目所在区域最主要的地表水系，相关河流具体情况如下：</w:t>
            </w:r>
          </w:p>
          <w:p>
            <w:pPr>
              <w:pStyle w:val="4"/>
              <w:spacing w:line="440" w:lineRule="exact"/>
              <w:ind w:firstLine="480"/>
              <w:rPr>
                <w:rFonts w:ascii="Times New Roman" w:hAnsi="Times New Roman" w:cs="Times New Roman"/>
                <w:sz w:val="24"/>
              </w:rPr>
            </w:pPr>
            <w:r>
              <w:rPr>
                <w:rFonts w:ascii="Times New Roman" w:hAnsi="Times New Roman" w:cs="Times New Roman"/>
                <w:sz w:val="24"/>
              </w:rPr>
              <w:t>长江：位于项目南，是我国的第一大河，流域面积180万平方公里，长约6300km，径流资源占全国总量的36%。滁河：位于项目北，长5.8km，河口宽约300m，是长江流域的主要行洪通道。</w:t>
            </w:r>
          </w:p>
          <w:p>
            <w:pPr>
              <w:spacing w:line="440" w:lineRule="exact"/>
              <w:ind w:firstLine="480"/>
              <w:rPr>
                <w:rFonts w:ascii="Times New Roman" w:hAnsi="Times New Roman" w:cs="Times New Roman"/>
              </w:rPr>
            </w:pPr>
            <w:r>
              <w:rPr>
                <w:rFonts w:ascii="Times New Roman" w:hAnsi="Times New Roman" w:cs="Times New Roman"/>
              </w:rPr>
              <w:t>5、植被、生物多样性</w:t>
            </w:r>
          </w:p>
          <w:p>
            <w:pPr>
              <w:spacing w:line="440" w:lineRule="exact"/>
              <w:ind w:firstLine="480"/>
              <w:rPr>
                <w:rFonts w:ascii="Times New Roman" w:hAnsi="Times New Roman" w:cs="Times New Roman"/>
              </w:rPr>
            </w:pPr>
            <w:r>
              <w:rPr>
                <w:rFonts w:ascii="Times New Roman" w:hAnsi="Times New Roman" w:cs="Times New Roman"/>
              </w:rPr>
              <w:t>南京林木覆盖率26.4%，建成区绿化覆盖率45%，属于中国现代植物资源最丰富、植物种类最繁多的地区，植被类型以人工植被和次生植被为主。</w:t>
            </w:r>
          </w:p>
          <w:p>
            <w:pPr>
              <w:spacing w:line="440" w:lineRule="exact"/>
              <w:ind w:firstLine="480"/>
              <w:rPr>
                <w:rFonts w:ascii="Times New Roman" w:hAnsi="Times New Roman" w:cs="Times New Roman"/>
              </w:rPr>
            </w:pPr>
            <w:r>
              <w:rPr>
                <w:rFonts w:ascii="Times New Roman" w:hAnsi="Times New Roman" w:cs="Times New Roman"/>
              </w:rPr>
              <w:t>项目周边未发现自然分布的国家级和省级珍稀濒危物种，也未见名木古树分布。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49" w:hRule="atLeast"/>
          <w:jc w:val="center"/>
        </w:trPr>
        <w:tc>
          <w:tcPr>
            <w:tcW w:w="9126" w:type="dxa"/>
            <w:tcBorders>
              <w:top w:val="single" w:color="auto" w:sz="4" w:space="0"/>
            </w:tcBorders>
            <w:tcMar>
              <w:top w:w="28" w:type="dxa"/>
              <w:left w:w="28" w:type="dxa"/>
              <w:bottom w:w="28" w:type="dxa"/>
              <w:right w:w="28" w:type="dxa"/>
            </w:tcMar>
          </w:tcPr>
          <w:p>
            <w:pPr>
              <w:spacing w:before="60" w:beforeLines="25" w:after="60" w:afterLines="25" w:line="240" w:lineRule="auto"/>
              <w:ind w:firstLine="0" w:firstLineChars="0"/>
              <w:rPr>
                <w:rFonts w:ascii="Times New Roman" w:hAnsi="Times New Roman" w:cs="Times New Roman"/>
                <w:b/>
              </w:rPr>
            </w:pPr>
            <w:r>
              <w:rPr>
                <w:rFonts w:ascii="Times New Roman" w:hAnsi="Times New Roman" w:cs="Times New Roman"/>
                <w:b/>
              </w:rPr>
              <w:t>社会环境简况（社会经济结构、教育、文化、文物保护等）：</w:t>
            </w:r>
          </w:p>
          <w:p>
            <w:pPr>
              <w:snapToGrid w:val="0"/>
              <w:spacing w:line="440" w:lineRule="exact"/>
              <w:ind w:firstLine="480"/>
              <w:jc w:val="left"/>
              <w:rPr>
                <w:rFonts w:ascii="Times New Roman" w:hAnsi="Times New Roman" w:cs="Times New Roman"/>
                <w:b/>
                <w:bCs/>
              </w:rPr>
            </w:pPr>
            <w:r>
              <w:rPr>
                <w:rFonts w:ascii="Times New Roman" w:hAnsi="Times New Roman" w:cs="Times New Roman"/>
                <w:snapToGrid w:val="0"/>
                <w:kern w:val="0"/>
                <w:szCs w:val="24"/>
              </w:rPr>
              <w:t>1、六合区社会环境概况</w:t>
            </w:r>
          </w:p>
          <w:p>
            <w:pPr>
              <w:snapToGrid w:val="0"/>
              <w:spacing w:line="440" w:lineRule="exact"/>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南京地处长江中下游平原东部苏皖两省交界处，总面积6597km</w:t>
            </w:r>
            <w:r>
              <w:rPr>
                <w:rFonts w:ascii="Times New Roman" w:hAnsi="Times New Roman" w:cs="Times New Roman"/>
                <w:snapToGrid w:val="0"/>
                <w:kern w:val="0"/>
                <w:szCs w:val="24"/>
                <w:vertAlign w:val="superscript"/>
              </w:rPr>
              <w:t>2</w:t>
            </w:r>
            <w:r>
              <w:rPr>
                <w:rFonts w:ascii="Times New Roman" w:hAnsi="Times New Roman" w:cs="Times New Roman"/>
                <w:snapToGrid w:val="0"/>
                <w:kern w:val="0"/>
                <w:szCs w:val="24"/>
              </w:rPr>
              <w:t>，建成区面积923.8km</w:t>
            </w:r>
            <w:r>
              <w:rPr>
                <w:rFonts w:ascii="Times New Roman" w:hAnsi="Times New Roman" w:cs="Times New Roman"/>
                <w:snapToGrid w:val="0"/>
                <w:kern w:val="0"/>
                <w:szCs w:val="24"/>
                <w:vertAlign w:val="superscript"/>
              </w:rPr>
              <w:t>2</w:t>
            </w:r>
            <w:r>
              <w:rPr>
                <w:rFonts w:ascii="Times New Roman" w:hAnsi="Times New Roman" w:cs="Times New Roman"/>
                <w:snapToGrid w:val="0"/>
                <w:kern w:val="0"/>
                <w:szCs w:val="24"/>
              </w:rPr>
              <w:t>，常住人口823.6万，城镇人口670.4万人，城镇化率81.4%。南京是国家重要的科教中心，有高等院校74所，其中211高校8所；国家重点实验室25所、国家重点学科169个、两院院士83人，是中国四大古都、首批国家历史文化名城。</w:t>
            </w:r>
          </w:p>
          <w:p>
            <w:pPr>
              <w:snapToGrid w:val="0"/>
              <w:spacing w:line="440" w:lineRule="exact"/>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六合区位于南京市北部，是国家东部地区现代工业基地，华东地区先进制造业聚集区和科技创新基地，全国综合实力百强区，与浦口区共同构成南京江北新区。六合区居民总人口90.3万人，拥有4所高中阶段学校，其中中等职业学校1所、21所初中、40所小学，公共图书馆2个，藏书38.5万余册；文化馆2个。</w:t>
            </w:r>
          </w:p>
          <w:p>
            <w:pPr>
              <w:tabs>
                <w:tab w:val="left" w:pos="1095"/>
              </w:tabs>
              <w:spacing w:line="440" w:lineRule="exact"/>
              <w:ind w:firstLine="480"/>
              <w:rPr>
                <w:rFonts w:ascii="Times New Roman" w:hAnsi="Times New Roman" w:cs="Times New Roman"/>
                <w:snapToGrid w:val="0"/>
                <w:kern w:val="0"/>
                <w:szCs w:val="24"/>
              </w:rPr>
            </w:pPr>
            <w:r>
              <w:rPr>
                <w:rFonts w:ascii="Times New Roman" w:hAnsi="Times New Roman" w:cs="Times New Roman"/>
                <w:snapToGrid w:val="0"/>
                <w:kern w:val="0"/>
                <w:szCs w:val="24"/>
              </w:rPr>
              <w:t>项目周围无重要文物保护单位。</w:t>
            </w:r>
          </w:p>
          <w:p>
            <w:pPr>
              <w:snapToGrid w:val="0"/>
              <w:spacing w:line="440" w:lineRule="exact"/>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2、南京市六合经济开发区</w:t>
            </w:r>
          </w:p>
          <w:p>
            <w:pPr>
              <w:snapToGrid w:val="0"/>
              <w:spacing w:line="440" w:lineRule="exact"/>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（1）园区概况</w:t>
            </w:r>
          </w:p>
          <w:p>
            <w:pPr>
              <w:snapToGrid w:val="0"/>
              <w:spacing w:line="440" w:lineRule="exact"/>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六合经济开发区于1993年经江苏省人民政府批准成立，于2001年正式起步开发，控制性详规覆盖区域面积28平方公里，以江北大道为轴，东至雍六高速，西至宁启铁路，北接六合城，南至马叉河，北、中、南部分别为商住区、工业区和商贸物流区。截至目前，开发区已累计基础设施投入15亿元，完成开发16平方公里；已引进企业200家，其中工业企业160家（年销售收入过亿元企业16家），商贸物流企业15家，房地产企业10家；已累计完成工业建设投入120亿元，实现利用外资4.5亿美元；已形成泵及水处理设备、汽车及零部件、机械电子、新材料新能源四大主导产业，年产值约占开发区年工业总产值75%以上。2010年，开发区实现地区生产总值63亿元，财政收入12.8亿元，完成全社会固定资产投资66亿元，实际利用外资2508万美元，出口创汇3.5亿美元。</w:t>
            </w:r>
          </w:p>
          <w:p>
            <w:pPr>
              <w:snapToGrid w:val="0"/>
              <w:spacing w:line="440" w:lineRule="exact"/>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（2）园区规划</w:t>
            </w:r>
          </w:p>
          <w:p>
            <w:pPr>
              <w:snapToGrid w:val="0"/>
              <w:spacing w:line="440" w:lineRule="exact"/>
              <w:ind w:firstLine="480"/>
              <w:jc w:val="left"/>
              <w:rPr>
                <w:rFonts w:ascii="Times New Roman" w:hAnsi="Times New Roman" w:cs="Times New Roman"/>
                <w:snapToGrid w:val="0"/>
                <w:kern w:val="0"/>
                <w:szCs w:val="24"/>
              </w:rPr>
            </w:pPr>
            <w:r>
              <w:rPr>
                <w:rFonts w:hint="eastAsia" w:ascii="宋体" w:hAnsi="宋体" w:eastAsia="宋体" w:cs="宋体"/>
                <w:snapToGrid w:val="0"/>
                <w:kern w:val="0"/>
                <w:szCs w:val="24"/>
              </w:rPr>
              <w:t>①</w:t>
            </w:r>
            <w:r>
              <w:rPr>
                <w:rFonts w:ascii="Times New Roman" w:hAnsi="Times New Roman" w:cs="Times New Roman"/>
                <w:snapToGrid w:val="0"/>
                <w:kern w:val="0"/>
                <w:szCs w:val="24"/>
              </w:rPr>
              <w:t xml:space="preserve"> 近期规划</w:t>
            </w:r>
          </w:p>
          <w:p>
            <w:pPr>
              <w:snapToGrid w:val="0"/>
              <w:spacing w:line="440" w:lineRule="exact"/>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十三五”期间，开发区将着力打造“一心、三园、三大产业”。“一心”即龙池湖高端人才集聚中心；“三园”即生态居住园，商贸物流园，新型工业化产业园；“三大产业”即汽车及零部件、环保装备产业、新能源电气。</w:t>
            </w:r>
          </w:p>
          <w:p>
            <w:pPr>
              <w:snapToGrid w:val="0"/>
              <w:spacing w:line="440" w:lineRule="exact"/>
              <w:ind w:firstLine="480"/>
              <w:jc w:val="left"/>
              <w:rPr>
                <w:rFonts w:ascii="Times New Roman" w:hAnsi="Times New Roman" w:cs="Times New Roman"/>
                <w:snapToGrid w:val="0"/>
                <w:kern w:val="0"/>
                <w:szCs w:val="24"/>
              </w:rPr>
            </w:pPr>
            <w:r>
              <w:rPr>
                <w:rFonts w:hint="eastAsia" w:ascii="宋体" w:hAnsi="宋体" w:eastAsia="宋体" w:cs="宋体"/>
                <w:snapToGrid w:val="0"/>
                <w:kern w:val="0"/>
                <w:szCs w:val="24"/>
              </w:rPr>
              <w:t>②</w:t>
            </w:r>
            <w:r>
              <w:rPr>
                <w:rFonts w:ascii="Times New Roman" w:hAnsi="Times New Roman" w:cs="Times New Roman"/>
                <w:snapToGrid w:val="0"/>
                <w:kern w:val="0"/>
                <w:szCs w:val="24"/>
              </w:rPr>
              <w:t xml:space="preserve"> 远期规划</w:t>
            </w:r>
          </w:p>
          <w:p>
            <w:pPr>
              <w:snapToGrid w:val="0"/>
              <w:spacing w:line="440" w:lineRule="exact"/>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开发区严格遵循科学规律，融南京主城区发展战略和六合区城市发展规划于一体，按照建设现代化江北新城区、高科技园区的定位，坚持高起点、高标准、严要求的原则，精心规划设计，体现城市特色，完善配套功能，层次鲜明清晰，有序合理开发。</w:t>
            </w:r>
          </w:p>
          <w:p>
            <w:pPr>
              <w:snapToGrid w:val="0"/>
              <w:spacing w:line="440" w:lineRule="exact"/>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开发区总体规划的目标：把六合经济开发区建设成为一个具有鲜明特色的国际化、现代化、生态型的江北新市区；一个以高新技术产业、高科技企业、高科技人才为支撑的经济园区；一个与国际惯例接轨、与国际市场经济接轨的创业园区；一个人与自然和谐共生的城郊休闲旅游生态园区；一个人居环境清洁优雅、文化气息浓郁、充满生机活力的文化园区。从而勾勒出以高科技和现代先导产业为主体、融山、水、城、林于一体、功能齐全、设施配套的高科技花园新城、知识创新基地的宏伟蓝图。</w:t>
            </w:r>
          </w:p>
          <w:p>
            <w:pPr>
              <w:snapToGrid w:val="0"/>
              <w:spacing w:line="440" w:lineRule="exact"/>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本项目位于南京市六合经济开发区时代大道与李姚路交叉口东北侧，主要从事各类焊机生产，符合南京市六合经济开发区用地规划、产业规划要求。</w:t>
            </w:r>
          </w:p>
          <w:p>
            <w:pPr>
              <w:snapToGrid w:val="0"/>
              <w:spacing w:line="440" w:lineRule="exact"/>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（3）基础设施建设</w:t>
            </w:r>
          </w:p>
          <w:p>
            <w:pPr>
              <w:snapToGrid w:val="0"/>
              <w:spacing w:line="440" w:lineRule="exact"/>
              <w:ind w:firstLine="480"/>
              <w:jc w:val="left"/>
              <w:rPr>
                <w:rFonts w:ascii="Times New Roman" w:hAnsi="Times New Roman" w:cs="Times New Roman"/>
                <w:snapToGrid w:val="0"/>
                <w:kern w:val="0"/>
                <w:szCs w:val="24"/>
              </w:rPr>
            </w:pPr>
            <w:r>
              <w:rPr>
                <w:rFonts w:hint="eastAsia" w:ascii="宋体" w:hAnsi="宋体" w:eastAsia="宋体" w:cs="宋体"/>
                <w:snapToGrid w:val="0"/>
                <w:kern w:val="0"/>
                <w:szCs w:val="24"/>
              </w:rPr>
              <w:t>①</w:t>
            </w:r>
            <w:r>
              <w:rPr>
                <w:rFonts w:ascii="Times New Roman" w:hAnsi="Times New Roman" w:cs="Times New Roman"/>
                <w:snapToGrid w:val="0"/>
                <w:kern w:val="0"/>
                <w:szCs w:val="24"/>
              </w:rPr>
              <w:t xml:space="preserve"> 给水</w:t>
            </w:r>
          </w:p>
          <w:p>
            <w:pPr>
              <w:snapToGrid w:val="0"/>
              <w:spacing w:line="440" w:lineRule="exact"/>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开发区的供水水源为六合水厂。近期规模为5 万立方米/日。根据本片区土地利用及各类用地用水指标计算，开发区规划用水总量为0.58 万立方米/日。</w:t>
            </w:r>
          </w:p>
          <w:p>
            <w:pPr>
              <w:snapToGrid w:val="0"/>
              <w:spacing w:line="440" w:lineRule="exact"/>
              <w:ind w:firstLine="480"/>
              <w:jc w:val="left"/>
              <w:rPr>
                <w:rFonts w:ascii="Times New Roman" w:hAnsi="Times New Roman" w:cs="Times New Roman"/>
                <w:snapToGrid w:val="0"/>
                <w:kern w:val="0"/>
                <w:szCs w:val="24"/>
              </w:rPr>
            </w:pPr>
            <w:r>
              <w:rPr>
                <w:rFonts w:hint="eastAsia" w:ascii="宋体" w:hAnsi="宋体" w:eastAsia="宋体" w:cs="宋体"/>
                <w:snapToGrid w:val="0"/>
                <w:kern w:val="0"/>
                <w:szCs w:val="24"/>
              </w:rPr>
              <w:t>②</w:t>
            </w:r>
            <w:r>
              <w:rPr>
                <w:rFonts w:ascii="Times New Roman" w:hAnsi="Times New Roman" w:cs="Times New Roman"/>
                <w:snapToGrid w:val="0"/>
                <w:kern w:val="0"/>
                <w:szCs w:val="24"/>
              </w:rPr>
              <w:t xml:space="preserve"> 排水</w:t>
            </w:r>
          </w:p>
          <w:p>
            <w:pPr>
              <w:snapToGrid w:val="0"/>
              <w:spacing w:line="440" w:lineRule="exact"/>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六合经济开发区及其配套区排水采用雨污分流制，雨水经收集就近排入附近河流；污水经污水管网收集后排入六合区污水处理厂，深度处理后尾水排入滁河。</w:t>
            </w:r>
          </w:p>
          <w:p>
            <w:pPr>
              <w:snapToGrid w:val="0"/>
              <w:spacing w:line="440" w:lineRule="exact"/>
              <w:ind w:firstLine="480"/>
              <w:jc w:val="left"/>
              <w:rPr>
                <w:rFonts w:ascii="Times New Roman" w:hAnsi="Times New Roman" w:cs="Times New Roman"/>
                <w:snapToGrid w:val="0"/>
                <w:kern w:val="0"/>
                <w:szCs w:val="24"/>
              </w:rPr>
            </w:pPr>
            <w:r>
              <w:rPr>
                <w:rFonts w:hint="eastAsia" w:ascii="宋体" w:hAnsi="宋体" w:eastAsia="宋体" w:cs="宋体"/>
                <w:snapToGrid w:val="0"/>
                <w:kern w:val="0"/>
                <w:szCs w:val="24"/>
              </w:rPr>
              <w:t>③</w:t>
            </w:r>
            <w:r>
              <w:rPr>
                <w:rFonts w:ascii="Times New Roman" w:hAnsi="Times New Roman" w:cs="Times New Roman"/>
                <w:snapToGrid w:val="0"/>
                <w:kern w:val="0"/>
                <w:szCs w:val="24"/>
              </w:rPr>
              <w:t xml:space="preserve"> 供电</w:t>
            </w:r>
          </w:p>
          <w:p>
            <w:pPr>
              <w:snapToGrid w:val="0"/>
              <w:spacing w:line="440" w:lineRule="exact"/>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供电电源：在开发区内现有110KV 龙池变电站一座；整个开发区由电网供电，不建设热电厂。</w:t>
            </w:r>
          </w:p>
          <w:p>
            <w:pPr>
              <w:snapToGrid w:val="0"/>
              <w:spacing w:line="440" w:lineRule="exact"/>
              <w:ind w:firstLine="480"/>
              <w:jc w:val="left"/>
              <w:rPr>
                <w:rFonts w:ascii="Times New Roman" w:hAnsi="Times New Roman" w:cs="Times New Roman"/>
                <w:snapToGrid w:val="0"/>
                <w:kern w:val="0"/>
                <w:szCs w:val="24"/>
              </w:rPr>
            </w:pPr>
            <w:r>
              <w:rPr>
                <w:rFonts w:hint="eastAsia" w:ascii="宋体" w:hAnsi="宋体" w:eastAsia="宋体" w:cs="宋体"/>
                <w:snapToGrid w:val="0"/>
                <w:kern w:val="0"/>
                <w:szCs w:val="24"/>
              </w:rPr>
              <w:t>④</w:t>
            </w:r>
            <w:r>
              <w:rPr>
                <w:rFonts w:ascii="Times New Roman" w:hAnsi="Times New Roman" w:cs="Times New Roman"/>
                <w:snapToGrid w:val="0"/>
                <w:kern w:val="0"/>
                <w:szCs w:val="24"/>
              </w:rPr>
              <w:t xml:space="preserve"> 供气</w:t>
            </w:r>
          </w:p>
          <w:p>
            <w:pPr>
              <w:snapToGrid w:val="0"/>
              <w:spacing w:line="440" w:lineRule="exact"/>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规划选择液化天然气为近期主要气源，采用高、中压二级系统，即高压管网输气，中压管网配气。</w:t>
            </w:r>
          </w:p>
          <w:p>
            <w:pPr>
              <w:wordWrap w:val="0"/>
              <w:adjustRightInd w:val="0"/>
              <w:snapToGrid w:val="0"/>
              <w:ind w:firstLine="420"/>
              <w:rPr>
                <w:rFonts w:ascii="Times New Roman" w:hAnsi="Times New Roman" w:cs="Times New Roman"/>
                <w:sz w:val="21"/>
              </w:rPr>
            </w:pPr>
          </w:p>
          <w:p>
            <w:pPr>
              <w:wordWrap w:val="0"/>
              <w:adjustRightInd w:val="0"/>
              <w:snapToGrid w:val="0"/>
              <w:ind w:firstLine="420"/>
              <w:rPr>
                <w:rFonts w:ascii="Times New Roman" w:hAnsi="Times New Roman" w:cs="Times New Roman"/>
                <w:sz w:val="21"/>
              </w:rPr>
            </w:pPr>
          </w:p>
          <w:p>
            <w:pPr>
              <w:wordWrap w:val="0"/>
              <w:adjustRightInd w:val="0"/>
              <w:snapToGrid w:val="0"/>
              <w:ind w:firstLine="420"/>
              <w:rPr>
                <w:rFonts w:ascii="Times New Roman" w:hAnsi="Times New Roman" w:cs="Times New Roman"/>
                <w:sz w:val="21"/>
              </w:rPr>
            </w:pPr>
          </w:p>
          <w:p>
            <w:pPr>
              <w:wordWrap w:val="0"/>
              <w:adjustRightInd w:val="0"/>
              <w:snapToGrid w:val="0"/>
              <w:ind w:firstLine="420"/>
              <w:rPr>
                <w:rFonts w:ascii="Times New Roman" w:hAnsi="Times New Roman" w:cs="Times New Roman"/>
                <w:sz w:val="21"/>
              </w:rPr>
            </w:pPr>
          </w:p>
          <w:p>
            <w:pPr>
              <w:wordWrap w:val="0"/>
              <w:adjustRightInd w:val="0"/>
              <w:snapToGrid w:val="0"/>
              <w:ind w:firstLine="420"/>
              <w:rPr>
                <w:rFonts w:ascii="Times New Roman" w:hAnsi="Times New Roman" w:cs="Times New Roman"/>
                <w:sz w:val="21"/>
              </w:rPr>
            </w:pPr>
          </w:p>
          <w:p>
            <w:pPr>
              <w:wordWrap w:val="0"/>
              <w:adjustRightInd w:val="0"/>
              <w:snapToGrid w:val="0"/>
              <w:ind w:firstLine="420"/>
              <w:rPr>
                <w:rFonts w:ascii="Times New Roman" w:hAnsi="Times New Roman" w:cs="Times New Roman"/>
                <w:sz w:val="21"/>
              </w:rPr>
            </w:pPr>
          </w:p>
          <w:p>
            <w:pPr>
              <w:wordWrap w:val="0"/>
              <w:adjustRightInd w:val="0"/>
              <w:snapToGrid w:val="0"/>
              <w:ind w:firstLine="420"/>
              <w:rPr>
                <w:rFonts w:ascii="Times New Roman" w:hAnsi="Times New Roman" w:cs="Times New Roman"/>
                <w:sz w:val="21"/>
              </w:rPr>
            </w:pPr>
          </w:p>
          <w:p>
            <w:pPr>
              <w:wordWrap w:val="0"/>
              <w:adjustRightInd w:val="0"/>
              <w:snapToGrid w:val="0"/>
              <w:ind w:firstLine="420"/>
              <w:rPr>
                <w:rFonts w:ascii="Times New Roman" w:hAnsi="Times New Roman" w:cs="Times New Roman"/>
                <w:sz w:val="21"/>
              </w:rPr>
            </w:pPr>
          </w:p>
          <w:p>
            <w:pPr>
              <w:wordWrap w:val="0"/>
              <w:adjustRightInd w:val="0"/>
              <w:snapToGrid w:val="0"/>
              <w:ind w:firstLine="420"/>
              <w:rPr>
                <w:rFonts w:ascii="Times New Roman" w:hAnsi="Times New Roman" w:cs="Times New Roman"/>
                <w:sz w:val="21"/>
              </w:rPr>
            </w:pPr>
          </w:p>
          <w:p>
            <w:pPr>
              <w:wordWrap w:val="0"/>
              <w:adjustRightInd w:val="0"/>
              <w:snapToGrid w:val="0"/>
              <w:ind w:firstLine="420"/>
              <w:rPr>
                <w:rFonts w:ascii="Times New Roman" w:hAnsi="Times New Roman" w:cs="Times New Roman"/>
                <w:sz w:val="21"/>
              </w:rPr>
            </w:pPr>
          </w:p>
          <w:p>
            <w:pPr>
              <w:wordWrap w:val="0"/>
              <w:adjustRightInd w:val="0"/>
              <w:snapToGrid w:val="0"/>
              <w:ind w:firstLine="420"/>
              <w:rPr>
                <w:rFonts w:ascii="Times New Roman" w:hAnsi="Times New Roman" w:cs="Times New Roman"/>
                <w:sz w:val="21"/>
              </w:rPr>
            </w:pPr>
          </w:p>
          <w:p>
            <w:pPr>
              <w:wordWrap w:val="0"/>
              <w:adjustRightInd w:val="0"/>
              <w:snapToGrid w:val="0"/>
              <w:ind w:firstLine="420"/>
              <w:rPr>
                <w:rFonts w:ascii="Times New Roman" w:hAnsi="Times New Roman" w:cs="Times New Roman"/>
                <w:sz w:val="21"/>
              </w:rPr>
            </w:pPr>
          </w:p>
          <w:p>
            <w:pPr>
              <w:wordWrap w:val="0"/>
              <w:adjustRightInd w:val="0"/>
              <w:snapToGrid w:val="0"/>
              <w:ind w:firstLine="420"/>
              <w:rPr>
                <w:rFonts w:ascii="Times New Roman" w:hAnsi="Times New Roman" w:cs="Times New Roman"/>
                <w:sz w:val="21"/>
              </w:rPr>
            </w:pPr>
          </w:p>
          <w:p>
            <w:pPr>
              <w:wordWrap w:val="0"/>
              <w:adjustRightInd w:val="0"/>
              <w:snapToGrid w:val="0"/>
              <w:ind w:firstLine="420"/>
              <w:rPr>
                <w:rFonts w:ascii="Times New Roman" w:hAnsi="Times New Roman" w:cs="Times New Roman"/>
                <w:sz w:val="21"/>
              </w:rPr>
            </w:pPr>
          </w:p>
          <w:p>
            <w:pPr>
              <w:wordWrap w:val="0"/>
              <w:adjustRightInd w:val="0"/>
              <w:snapToGrid w:val="0"/>
              <w:ind w:firstLine="420"/>
              <w:rPr>
                <w:rFonts w:ascii="Times New Roman" w:hAnsi="Times New Roman" w:cs="Times New Roman"/>
                <w:sz w:val="21"/>
              </w:rPr>
            </w:pPr>
          </w:p>
          <w:p>
            <w:pPr>
              <w:wordWrap w:val="0"/>
              <w:adjustRightInd w:val="0"/>
              <w:snapToGrid w:val="0"/>
              <w:ind w:firstLine="420"/>
              <w:rPr>
                <w:rFonts w:ascii="Times New Roman" w:hAnsi="Times New Roman" w:cs="Times New Roman"/>
                <w:sz w:val="21"/>
              </w:rPr>
            </w:pPr>
          </w:p>
          <w:p>
            <w:pPr>
              <w:wordWrap w:val="0"/>
              <w:adjustRightInd w:val="0"/>
              <w:snapToGrid w:val="0"/>
              <w:ind w:firstLine="420"/>
              <w:rPr>
                <w:rFonts w:ascii="Times New Roman" w:hAnsi="Times New Roman" w:cs="Times New Roman"/>
                <w:sz w:val="21"/>
              </w:rPr>
            </w:pPr>
          </w:p>
          <w:p>
            <w:pPr>
              <w:wordWrap w:val="0"/>
              <w:adjustRightInd w:val="0"/>
              <w:snapToGrid w:val="0"/>
              <w:ind w:firstLine="420"/>
              <w:rPr>
                <w:rFonts w:ascii="Times New Roman" w:hAnsi="Times New Roman" w:cs="Times New Roman"/>
                <w:sz w:val="21"/>
              </w:rPr>
            </w:pPr>
          </w:p>
          <w:p>
            <w:pPr>
              <w:wordWrap w:val="0"/>
              <w:adjustRightInd w:val="0"/>
              <w:snapToGrid w:val="0"/>
              <w:ind w:firstLine="420"/>
              <w:rPr>
                <w:rFonts w:ascii="Times New Roman" w:hAnsi="Times New Roman" w:cs="Times New Roman"/>
                <w:sz w:val="21"/>
              </w:rPr>
            </w:pPr>
          </w:p>
          <w:p>
            <w:pPr>
              <w:wordWrap w:val="0"/>
              <w:adjustRightInd w:val="0"/>
              <w:snapToGrid w:val="0"/>
              <w:ind w:firstLine="420"/>
              <w:rPr>
                <w:rFonts w:ascii="Times New Roman" w:hAnsi="Times New Roman" w:cs="Times New Roman"/>
                <w:sz w:val="21"/>
              </w:rPr>
            </w:pPr>
          </w:p>
          <w:p>
            <w:pPr>
              <w:wordWrap w:val="0"/>
              <w:adjustRightInd w:val="0"/>
              <w:snapToGrid w:val="0"/>
              <w:ind w:firstLine="420"/>
              <w:rPr>
                <w:rFonts w:ascii="Times New Roman" w:hAnsi="Times New Roman" w:cs="Times New Roman"/>
                <w:sz w:val="21"/>
              </w:rPr>
            </w:pPr>
          </w:p>
          <w:p>
            <w:pPr>
              <w:wordWrap w:val="0"/>
              <w:adjustRightInd w:val="0"/>
              <w:snapToGrid w:val="0"/>
              <w:ind w:firstLine="420"/>
              <w:rPr>
                <w:rFonts w:ascii="Times New Roman" w:hAnsi="Times New Roman" w:cs="Times New Roman"/>
                <w:sz w:val="21"/>
              </w:rPr>
            </w:pPr>
          </w:p>
          <w:p>
            <w:pPr>
              <w:tabs>
                <w:tab w:val="left" w:pos="1095"/>
              </w:tabs>
              <w:spacing w:line="440" w:lineRule="exact"/>
              <w:ind w:firstLine="482"/>
              <w:rPr>
                <w:rFonts w:ascii="Times New Roman" w:hAnsi="Times New Roman" w:cs="Times New Roman"/>
                <w:b/>
              </w:rPr>
            </w:pPr>
          </w:p>
        </w:tc>
      </w:tr>
    </w:tbl>
    <w:p>
      <w:pPr>
        <w:pStyle w:val="2"/>
        <w:jc w:val="left"/>
        <w:rPr>
          <w:rFonts w:ascii="Times New Roman" w:hAnsi="Times New Roman" w:cs="Times New Roman"/>
        </w:rPr>
      </w:pPr>
      <w:r>
        <w:rPr>
          <w:rFonts w:ascii="Times New Roman" w:hAnsi="Times New Roman" w:cs="Times New Roman"/>
        </w:rPr>
        <w:t>环境质量状况</w:t>
      </w:r>
    </w:p>
    <w:tbl>
      <w:tblPr>
        <w:tblStyle w:val="11"/>
        <w:tblW w:w="9126" w:type="dxa"/>
        <w:jc w:val="center"/>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12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6" w:hRule="atLeast"/>
          <w:jc w:val="center"/>
        </w:trPr>
        <w:tc>
          <w:tcPr>
            <w:tcW w:w="9126" w:type="dxa"/>
            <w:tcMar>
              <w:top w:w="28" w:type="dxa"/>
              <w:left w:w="28" w:type="dxa"/>
              <w:bottom w:w="28" w:type="dxa"/>
              <w:right w:w="28" w:type="dxa"/>
            </w:tcMar>
          </w:tcPr>
          <w:p>
            <w:pPr>
              <w:spacing w:before="60" w:beforeLines="25" w:after="60" w:afterLines="25" w:line="240" w:lineRule="auto"/>
              <w:ind w:firstLine="0" w:firstLineChars="0"/>
              <w:rPr>
                <w:rFonts w:ascii="Times New Roman" w:hAnsi="Times New Roman" w:cs="Times New Roman"/>
                <w:b/>
              </w:rPr>
            </w:pPr>
            <w:r>
              <w:rPr>
                <w:rFonts w:ascii="Times New Roman" w:hAnsi="Times New Roman" w:cs="Times New Roman"/>
                <w:b/>
              </w:rPr>
              <w:t>建设项目所在地区域环境质量现状及主要环境问题（环境空气、地面水、地下水、声环境、电磁环境、生态环境等）：</w:t>
            </w:r>
          </w:p>
          <w:p>
            <w:pPr>
              <w:snapToGrid w:val="0"/>
              <w:spacing w:line="440" w:lineRule="exact"/>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（1）建设项目所在地区域环境质量现状</w:t>
            </w:r>
          </w:p>
          <w:p>
            <w:pPr>
              <w:snapToGrid w:val="0"/>
              <w:spacing w:line="440" w:lineRule="exact"/>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根据2017年6月5日南京市开发区国土环保局发布的《2016年南京市环境状况公报》，区域环境质量现状如下：</w:t>
            </w:r>
          </w:p>
          <w:p>
            <w:pPr>
              <w:snapToGrid w:val="0"/>
              <w:spacing w:line="440" w:lineRule="exact"/>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fldChar w:fldCharType="begin"/>
            </w:r>
            <w:r>
              <w:rPr>
                <w:rFonts w:ascii="Times New Roman" w:hAnsi="Times New Roman" w:cs="Times New Roman"/>
                <w:snapToGrid w:val="0"/>
                <w:kern w:val="0"/>
                <w:szCs w:val="24"/>
              </w:rPr>
              <w:instrText xml:space="preserve"> = 1 \* GB3 </w:instrText>
            </w:r>
            <w:r>
              <w:rPr>
                <w:rFonts w:ascii="Times New Roman" w:hAnsi="Times New Roman" w:cs="Times New Roman"/>
                <w:snapToGrid w:val="0"/>
                <w:kern w:val="0"/>
                <w:szCs w:val="24"/>
              </w:rPr>
              <w:fldChar w:fldCharType="separate"/>
            </w:r>
            <w:r>
              <w:rPr>
                <w:rFonts w:hint="eastAsia" w:ascii="宋体" w:hAnsi="宋体" w:eastAsia="宋体" w:cs="宋体"/>
                <w:snapToGrid w:val="0"/>
                <w:kern w:val="0"/>
                <w:szCs w:val="24"/>
              </w:rPr>
              <w:t>①</w:t>
            </w:r>
            <w:r>
              <w:rPr>
                <w:rFonts w:ascii="Times New Roman" w:hAnsi="Times New Roman" w:cs="Times New Roman"/>
                <w:snapToGrid w:val="0"/>
                <w:kern w:val="0"/>
                <w:szCs w:val="24"/>
              </w:rPr>
              <w:fldChar w:fldCharType="end"/>
            </w:r>
            <w:r>
              <w:rPr>
                <w:rFonts w:ascii="Times New Roman" w:hAnsi="Times New Roman" w:cs="Times New Roman"/>
                <w:snapToGrid w:val="0"/>
                <w:kern w:val="0"/>
                <w:szCs w:val="24"/>
              </w:rPr>
              <w:t>空气环境质量</w:t>
            </w:r>
          </w:p>
          <w:p>
            <w:pPr>
              <w:snapToGrid w:val="0"/>
              <w:spacing w:line="440" w:lineRule="exact"/>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按照《环境空气质量标准》（GB3095-2012）评价，区内环境空气中污染物PM2.5年均值为47.9μg/m³，超过国家二级标准0.37倍；PM10年均值为85.2μg/m³，超过国家二级标准0.22倍；NO2年均值为44.3μg/m³，超过国家二级标准0.11倍；SO2年均值为18.2μg/m³，达到国家二级标准。全市环境空气质量保持稳定，环境空气质量较上年有所改善。</w:t>
            </w:r>
          </w:p>
          <w:p>
            <w:pPr>
              <w:snapToGrid w:val="0"/>
              <w:spacing w:line="440" w:lineRule="exact"/>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fldChar w:fldCharType="begin"/>
            </w:r>
            <w:r>
              <w:rPr>
                <w:rFonts w:ascii="Times New Roman" w:hAnsi="Times New Roman" w:cs="Times New Roman"/>
                <w:snapToGrid w:val="0"/>
                <w:kern w:val="0"/>
                <w:szCs w:val="24"/>
              </w:rPr>
              <w:instrText xml:space="preserve"> = 2 \* GB3 </w:instrText>
            </w:r>
            <w:r>
              <w:rPr>
                <w:rFonts w:ascii="Times New Roman" w:hAnsi="Times New Roman" w:cs="Times New Roman"/>
                <w:snapToGrid w:val="0"/>
                <w:kern w:val="0"/>
                <w:szCs w:val="24"/>
              </w:rPr>
              <w:fldChar w:fldCharType="separate"/>
            </w:r>
            <w:r>
              <w:rPr>
                <w:rFonts w:hint="eastAsia" w:ascii="宋体" w:hAnsi="宋体" w:eastAsia="宋体" w:cs="宋体"/>
                <w:snapToGrid w:val="0"/>
                <w:kern w:val="0"/>
                <w:szCs w:val="24"/>
              </w:rPr>
              <w:t>②</w:t>
            </w:r>
            <w:r>
              <w:rPr>
                <w:rFonts w:ascii="Times New Roman" w:hAnsi="Times New Roman" w:cs="Times New Roman"/>
                <w:snapToGrid w:val="0"/>
                <w:kern w:val="0"/>
                <w:szCs w:val="24"/>
              </w:rPr>
              <w:fldChar w:fldCharType="end"/>
            </w:r>
            <w:r>
              <w:rPr>
                <w:rFonts w:ascii="Times New Roman" w:hAnsi="Times New Roman" w:cs="Times New Roman"/>
                <w:snapToGrid w:val="0"/>
                <w:kern w:val="0"/>
                <w:szCs w:val="24"/>
              </w:rPr>
              <w:t>水环境质量</w:t>
            </w:r>
          </w:p>
          <w:p>
            <w:pPr>
              <w:snapToGrid w:val="0"/>
              <w:spacing w:line="440" w:lineRule="exact"/>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全市112个水环境功能区监测断面（点），优于Ⅲ类水质断面有63个，占56.2%，同比下降1.5个百分点；劣于Ⅴ类水质断面有13个，占11.6%，同比基本持平。全市纳入《江苏省“十三五”水环境质量考核目标》的22个地表水断面，优于Ⅲ类水质断面有14个，占63.6%，劣于Ⅴ类水质断面有2个，占9.1%。</w:t>
            </w:r>
          </w:p>
          <w:p>
            <w:pPr>
              <w:snapToGrid w:val="0"/>
              <w:spacing w:line="440" w:lineRule="exact"/>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长江（南京段）水质与上年同期基本持平，除总磷处于Ⅲ类水平外，其他指标均达到Ⅱ类标准。</w:t>
            </w:r>
          </w:p>
          <w:p>
            <w:pPr>
              <w:snapToGrid w:val="0"/>
              <w:spacing w:line="440" w:lineRule="exact"/>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fldChar w:fldCharType="begin"/>
            </w:r>
            <w:r>
              <w:rPr>
                <w:rFonts w:ascii="Times New Roman" w:hAnsi="Times New Roman" w:cs="Times New Roman"/>
                <w:snapToGrid w:val="0"/>
                <w:kern w:val="0"/>
                <w:szCs w:val="24"/>
              </w:rPr>
              <w:instrText xml:space="preserve"> = 3 \* GB3 </w:instrText>
            </w:r>
            <w:r>
              <w:rPr>
                <w:rFonts w:ascii="Times New Roman" w:hAnsi="Times New Roman" w:cs="Times New Roman"/>
                <w:snapToGrid w:val="0"/>
                <w:kern w:val="0"/>
                <w:szCs w:val="24"/>
              </w:rPr>
              <w:fldChar w:fldCharType="separate"/>
            </w:r>
            <w:r>
              <w:rPr>
                <w:rFonts w:hint="eastAsia" w:ascii="宋体" w:hAnsi="宋体" w:eastAsia="宋体" w:cs="宋体"/>
                <w:snapToGrid w:val="0"/>
                <w:kern w:val="0"/>
                <w:szCs w:val="24"/>
              </w:rPr>
              <w:t>③</w:t>
            </w:r>
            <w:r>
              <w:rPr>
                <w:rFonts w:ascii="Times New Roman" w:hAnsi="Times New Roman" w:cs="Times New Roman"/>
                <w:snapToGrid w:val="0"/>
                <w:kern w:val="0"/>
                <w:szCs w:val="24"/>
              </w:rPr>
              <w:fldChar w:fldCharType="end"/>
            </w:r>
            <w:r>
              <w:rPr>
                <w:rFonts w:ascii="Times New Roman" w:hAnsi="Times New Roman" w:cs="Times New Roman"/>
                <w:snapToGrid w:val="0"/>
                <w:kern w:val="0"/>
                <w:szCs w:val="24"/>
              </w:rPr>
              <w:t>声环境质量</w:t>
            </w:r>
          </w:p>
          <w:p>
            <w:pPr>
              <w:snapToGrid w:val="0"/>
              <w:spacing w:line="440" w:lineRule="exact"/>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全市区域噪声监测点位539个。城区区域环境噪声均值位53.9分贝，同比下降0.9分贝；郊区区域环境噪声位53.8分贝，同比下降0.8分贝。全市交通噪声检测点位245个，城区交通噪声均值为68.3分贝，同比上升0.5分贝；郊区交通噪声均值为68.0分贝，同比上升0.1分贝。全市功能区噪声检测点位28个。昼间噪声达标率位97.3%，同比下降0.9个百分点；夜间噪声达标率为86.6%，同比上升2.7个百分点。噪声环境整体较为良好。</w:t>
            </w:r>
          </w:p>
          <w:p>
            <w:pPr>
              <w:snapToGrid w:val="0"/>
              <w:spacing w:line="440" w:lineRule="exact"/>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（2）周边污染情况及主要环境问题</w:t>
            </w:r>
          </w:p>
          <w:p>
            <w:pPr>
              <w:snapToGrid w:val="0"/>
              <w:spacing w:line="440" w:lineRule="exact"/>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建设项目周边无环境污染情况，不存在主要环境问题。</w:t>
            </w:r>
          </w:p>
          <w:p>
            <w:pPr>
              <w:spacing w:line="440" w:lineRule="exact"/>
              <w:ind w:firstLine="480"/>
              <w:jc w:val="left"/>
              <w:rPr>
                <w:rFonts w:ascii="Times New Roman" w:hAnsi="Times New Roman" w:cs="Times New Roman"/>
              </w:rPr>
            </w:pPr>
          </w:p>
          <w:p>
            <w:pPr>
              <w:adjustRightInd w:val="0"/>
              <w:snapToGrid w:val="0"/>
              <w:spacing w:line="400" w:lineRule="exact"/>
              <w:ind w:firstLine="0" w:firstLineChars="0"/>
              <w:jc w:val="left"/>
              <w:rPr>
                <w:rFonts w:ascii="Times New Roman" w:hAnsi="Times New Roman" w:cs="Times New Roman"/>
              </w:rPr>
            </w:pPr>
          </w:p>
          <w:p>
            <w:pPr>
              <w:adjustRightInd w:val="0"/>
              <w:snapToGrid w:val="0"/>
              <w:spacing w:line="400" w:lineRule="exact"/>
              <w:ind w:firstLine="0" w:firstLineChars="0"/>
              <w:jc w:val="left"/>
              <w:rPr>
                <w:rFonts w:ascii="Times New Roman" w:hAnsi="Times New Roman" w:cs="Times New Roman"/>
              </w:rPr>
            </w:pPr>
          </w:p>
          <w:p>
            <w:pPr>
              <w:adjustRightInd w:val="0"/>
              <w:snapToGrid w:val="0"/>
              <w:spacing w:line="400" w:lineRule="exact"/>
              <w:ind w:firstLine="0" w:firstLineChars="0"/>
              <w:jc w:val="left"/>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3702" w:hRule="atLeast"/>
          <w:jc w:val="center"/>
        </w:trPr>
        <w:tc>
          <w:tcPr>
            <w:tcW w:w="9126" w:type="dxa"/>
            <w:tcMar>
              <w:top w:w="28" w:type="dxa"/>
              <w:left w:w="28" w:type="dxa"/>
              <w:bottom w:w="28" w:type="dxa"/>
              <w:right w:w="28" w:type="dxa"/>
            </w:tcMar>
          </w:tcPr>
          <w:p>
            <w:pPr>
              <w:spacing w:before="60" w:beforeLines="25" w:after="60" w:afterLines="25" w:line="240" w:lineRule="auto"/>
              <w:ind w:firstLine="0" w:firstLineChars="0"/>
              <w:rPr>
                <w:rFonts w:ascii="Times New Roman" w:hAnsi="Times New Roman" w:cs="Times New Roman"/>
                <w:b/>
              </w:rPr>
            </w:pPr>
            <w:r>
              <w:rPr>
                <w:rFonts w:ascii="Times New Roman" w:hAnsi="Times New Roman" w:cs="Times New Roman"/>
                <w:b/>
              </w:rPr>
              <w:t>主要环境保护目标（列出名单及保护级别）：</w:t>
            </w:r>
          </w:p>
          <w:p>
            <w:pPr>
              <w:adjustRightInd w:val="0"/>
              <w:snapToGrid w:val="0"/>
              <w:spacing w:line="400" w:lineRule="exact"/>
              <w:ind w:firstLine="480"/>
              <w:jc w:val="left"/>
              <w:rPr>
                <w:rFonts w:ascii="Times New Roman" w:hAnsi="Times New Roman" w:cs="Times New Roman"/>
                <w:szCs w:val="24"/>
              </w:rPr>
            </w:pPr>
            <w:r>
              <w:rPr>
                <w:rFonts w:ascii="Times New Roman" w:hAnsi="Times New Roman" w:cs="Times New Roman"/>
                <w:szCs w:val="24"/>
              </w:rPr>
              <w:t>根据现场踏勘，项目环境保护目标包括大气环境、水环境、声环境和生态环境等四类，具体保护目标及其保护级别详见表9。</w:t>
            </w:r>
          </w:p>
          <w:p>
            <w:pPr>
              <w:adjustRightInd w:val="0"/>
              <w:snapToGrid w:val="0"/>
              <w:spacing w:line="560" w:lineRule="exact"/>
              <w:ind w:firstLine="0" w:firstLineChars="0"/>
              <w:jc w:val="center"/>
              <w:rPr>
                <w:rFonts w:ascii="Times New Roman" w:hAnsi="Times New Roman" w:eastAsia="黑体" w:cs="Times New Roman"/>
              </w:rPr>
            </w:pPr>
            <w:r>
              <w:rPr>
                <w:rFonts w:ascii="Times New Roman" w:hAnsi="Times New Roman" w:eastAsia="黑体" w:cs="Times New Roman"/>
              </w:rPr>
              <w:t>表9   环境保护目标一览表</w:t>
            </w:r>
          </w:p>
          <w:tbl>
            <w:tblPr>
              <w:tblStyle w:val="11"/>
              <w:tblW w:w="9070"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
            <w:tblGrid>
              <w:gridCol w:w="906"/>
              <w:gridCol w:w="1995"/>
              <w:gridCol w:w="1159"/>
              <w:gridCol w:w="1159"/>
              <w:gridCol w:w="1161"/>
              <w:gridCol w:w="269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906"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类别</w:t>
                  </w:r>
                </w:p>
              </w:tc>
              <w:tc>
                <w:tcPr>
                  <w:tcW w:w="199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环境保护目标</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方位</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距离（m）</w:t>
                  </w:r>
                </w:p>
              </w:tc>
              <w:tc>
                <w:tcPr>
                  <w:tcW w:w="116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规模</w:t>
                  </w:r>
                </w:p>
              </w:tc>
              <w:tc>
                <w:tcPr>
                  <w:tcW w:w="2690"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保护级别</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906" w:type="dxa"/>
                  <w:vMerge w:val="restart"/>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大气</w:t>
                  </w:r>
                </w:p>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环境</w:t>
                  </w:r>
                </w:p>
              </w:tc>
              <w:tc>
                <w:tcPr>
                  <w:tcW w:w="199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七里花园</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N</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470</w:t>
                  </w:r>
                </w:p>
              </w:tc>
              <w:tc>
                <w:tcPr>
                  <w:tcW w:w="116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1800人</w:t>
                  </w:r>
                </w:p>
              </w:tc>
              <w:tc>
                <w:tcPr>
                  <w:tcW w:w="2690" w:type="dxa"/>
                  <w:vMerge w:val="restart"/>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《环境空气质量标准》（GB3095-2012）二级标准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906" w:type="dxa"/>
                  <w:vMerge w:val="continue"/>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p>
              </w:tc>
              <w:tc>
                <w:tcPr>
                  <w:tcW w:w="199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新世纪花园</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NE</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580</w:t>
                  </w:r>
                </w:p>
              </w:tc>
              <w:tc>
                <w:tcPr>
                  <w:tcW w:w="116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1500人</w:t>
                  </w:r>
                </w:p>
              </w:tc>
              <w:tc>
                <w:tcPr>
                  <w:tcW w:w="2690" w:type="dxa"/>
                  <w:vMerge w:val="continue"/>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906" w:type="dxa"/>
                  <w:vMerge w:val="continue"/>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p>
              </w:tc>
              <w:tc>
                <w:tcPr>
                  <w:tcW w:w="199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毛许街道</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SE</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890</w:t>
                  </w:r>
                </w:p>
              </w:tc>
              <w:tc>
                <w:tcPr>
                  <w:tcW w:w="116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500人</w:t>
                  </w:r>
                </w:p>
              </w:tc>
              <w:tc>
                <w:tcPr>
                  <w:tcW w:w="2690" w:type="dxa"/>
                  <w:vMerge w:val="continue"/>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906" w:type="dxa"/>
                  <w:vMerge w:val="continue"/>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p>
              </w:tc>
              <w:tc>
                <w:tcPr>
                  <w:tcW w:w="1995" w:type="dxa"/>
                  <w:tcMar>
                    <w:top w:w="28" w:type="dxa"/>
                    <w:left w:w="28" w:type="dxa"/>
                    <w:bottom w:w="28" w:type="dxa"/>
                    <w:right w:w="28" w:type="dxa"/>
                  </w:tcMar>
                  <w:vAlign w:val="center"/>
                </w:tcPr>
                <w:p>
                  <w:pPr>
                    <w:autoSpaceDE w:val="0"/>
                    <w:autoSpaceDN w:val="0"/>
                    <w:adjustRightIn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姜宋村</w:t>
                  </w:r>
                </w:p>
              </w:tc>
              <w:tc>
                <w:tcPr>
                  <w:tcW w:w="1159" w:type="dxa"/>
                  <w:tcMar>
                    <w:top w:w="28" w:type="dxa"/>
                    <w:left w:w="28" w:type="dxa"/>
                    <w:bottom w:w="28" w:type="dxa"/>
                    <w:right w:w="28" w:type="dxa"/>
                  </w:tcMar>
                  <w:vAlign w:val="center"/>
                </w:tcPr>
                <w:p>
                  <w:pPr>
                    <w:autoSpaceDE w:val="0"/>
                    <w:autoSpaceDN w:val="0"/>
                    <w:adjustRightIn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S</w:t>
                  </w:r>
                </w:p>
              </w:tc>
              <w:tc>
                <w:tcPr>
                  <w:tcW w:w="1159" w:type="dxa"/>
                  <w:tcMar>
                    <w:top w:w="28" w:type="dxa"/>
                    <w:left w:w="28" w:type="dxa"/>
                    <w:bottom w:w="28" w:type="dxa"/>
                    <w:right w:w="28" w:type="dxa"/>
                  </w:tcMar>
                  <w:vAlign w:val="center"/>
                </w:tcPr>
                <w:p>
                  <w:pPr>
                    <w:autoSpaceDE w:val="0"/>
                    <w:autoSpaceDN w:val="0"/>
                    <w:adjustRightIn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1100</w:t>
                  </w:r>
                </w:p>
              </w:tc>
              <w:tc>
                <w:tcPr>
                  <w:tcW w:w="1161" w:type="dxa"/>
                  <w:tcMar>
                    <w:top w:w="28" w:type="dxa"/>
                    <w:left w:w="28" w:type="dxa"/>
                    <w:bottom w:w="28" w:type="dxa"/>
                    <w:right w:w="28" w:type="dxa"/>
                  </w:tcMar>
                  <w:vAlign w:val="center"/>
                </w:tcPr>
                <w:p>
                  <w:pPr>
                    <w:autoSpaceDE w:val="0"/>
                    <w:autoSpaceDN w:val="0"/>
                    <w:adjustRightIn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180人</w:t>
                  </w:r>
                </w:p>
              </w:tc>
              <w:tc>
                <w:tcPr>
                  <w:tcW w:w="2690" w:type="dxa"/>
                  <w:vMerge w:val="continue"/>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906" w:type="dxa"/>
                  <w:vMerge w:val="continue"/>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p>
              </w:tc>
              <w:tc>
                <w:tcPr>
                  <w:tcW w:w="199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宣叶</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SSW</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1100</w:t>
                  </w:r>
                </w:p>
              </w:tc>
              <w:tc>
                <w:tcPr>
                  <w:tcW w:w="116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200人</w:t>
                  </w:r>
                </w:p>
              </w:tc>
              <w:tc>
                <w:tcPr>
                  <w:tcW w:w="2690" w:type="dxa"/>
                  <w:vMerge w:val="continue"/>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906" w:type="dxa"/>
                  <w:vMerge w:val="continue"/>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p>
              </w:tc>
              <w:tc>
                <w:tcPr>
                  <w:tcW w:w="199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曹庄</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WSW</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1500</w:t>
                  </w:r>
                </w:p>
              </w:tc>
              <w:tc>
                <w:tcPr>
                  <w:tcW w:w="116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100人</w:t>
                  </w:r>
                </w:p>
              </w:tc>
              <w:tc>
                <w:tcPr>
                  <w:tcW w:w="2690" w:type="dxa"/>
                  <w:vMerge w:val="continue"/>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906" w:type="dxa"/>
                  <w:vMerge w:val="continue"/>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p>
              </w:tc>
              <w:tc>
                <w:tcPr>
                  <w:tcW w:w="199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楼庄</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SW</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1800</w:t>
                  </w:r>
                </w:p>
              </w:tc>
              <w:tc>
                <w:tcPr>
                  <w:tcW w:w="116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200人</w:t>
                  </w:r>
                </w:p>
              </w:tc>
              <w:tc>
                <w:tcPr>
                  <w:tcW w:w="2690" w:type="dxa"/>
                  <w:vMerge w:val="continue"/>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906" w:type="dxa"/>
                  <w:vMerge w:val="continue"/>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p>
              </w:tc>
              <w:tc>
                <w:tcPr>
                  <w:tcW w:w="199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大宋朝书画院</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SE</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1500</w:t>
                  </w:r>
                </w:p>
              </w:tc>
              <w:tc>
                <w:tcPr>
                  <w:tcW w:w="116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2690" w:type="dxa"/>
                  <w:vMerge w:val="continue"/>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906" w:type="dxa"/>
                  <w:vMerge w:val="continue"/>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p>
              </w:tc>
              <w:tc>
                <w:tcPr>
                  <w:tcW w:w="199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招贤寺</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SE</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2000</w:t>
                  </w:r>
                </w:p>
              </w:tc>
              <w:tc>
                <w:tcPr>
                  <w:tcW w:w="116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2690" w:type="dxa"/>
                  <w:vMerge w:val="continue"/>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906" w:type="dxa"/>
                  <w:vMerge w:val="continue"/>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p>
              </w:tc>
              <w:tc>
                <w:tcPr>
                  <w:tcW w:w="199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六合区龙池中学</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ESE</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1800</w:t>
                  </w:r>
                </w:p>
              </w:tc>
              <w:tc>
                <w:tcPr>
                  <w:tcW w:w="116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2690" w:type="dxa"/>
                  <w:vMerge w:val="continue"/>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906" w:type="dxa"/>
                  <w:vMerge w:val="continue"/>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p>
              </w:tc>
              <w:tc>
                <w:tcPr>
                  <w:tcW w:w="199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垛石村</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200</w:t>
                  </w:r>
                </w:p>
              </w:tc>
              <w:tc>
                <w:tcPr>
                  <w:tcW w:w="116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100人</w:t>
                  </w:r>
                </w:p>
              </w:tc>
              <w:tc>
                <w:tcPr>
                  <w:tcW w:w="2690" w:type="dxa"/>
                  <w:vMerge w:val="continue"/>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906" w:type="dxa"/>
                  <w:vMerge w:val="continue"/>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p>
              </w:tc>
              <w:tc>
                <w:tcPr>
                  <w:tcW w:w="199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刘营村</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1300</w:t>
                  </w:r>
                </w:p>
              </w:tc>
              <w:tc>
                <w:tcPr>
                  <w:tcW w:w="116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200人</w:t>
                  </w:r>
                </w:p>
              </w:tc>
              <w:tc>
                <w:tcPr>
                  <w:tcW w:w="2690" w:type="dxa"/>
                  <w:vMerge w:val="continue"/>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906" w:type="dxa"/>
                  <w:vMerge w:val="continue"/>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p>
              </w:tc>
              <w:tc>
                <w:tcPr>
                  <w:tcW w:w="199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袁陆村</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WNW</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750</w:t>
                  </w:r>
                </w:p>
              </w:tc>
              <w:tc>
                <w:tcPr>
                  <w:tcW w:w="116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100人</w:t>
                  </w:r>
                </w:p>
              </w:tc>
              <w:tc>
                <w:tcPr>
                  <w:tcW w:w="2690" w:type="dxa"/>
                  <w:vMerge w:val="continue"/>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906" w:type="dxa"/>
                  <w:vMerge w:val="restart"/>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水</w:t>
                  </w:r>
                </w:p>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环境</w:t>
                  </w:r>
                </w:p>
              </w:tc>
              <w:tc>
                <w:tcPr>
                  <w:tcW w:w="199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长江</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S</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8600</w:t>
                  </w:r>
                </w:p>
              </w:tc>
              <w:tc>
                <w:tcPr>
                  <w:tcW w:w="116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大河</w:t>
                  </w:r>
                </w:p>
              </w:tc>
              <w:tc>
                <w:tcPr>
                  <w:tcW w:w="2690"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《地表水环境质量标准》（GB3838-2002）Ⅱ类标准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906" w:type="dxa"/>
                  <w:vMerge w:val="continue"/>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p>
              </w:tc>
              <w:tc>
                <w:tcPr>
                  <w:tcW w:w="199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滁河</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N</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1200</w:t>
                  </w:r>
                </w:p>
              </w:tc>
              <w:tc>
                <w:tcPr>
                  <w:tcW w:w="116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中河</w:t>
                  </w:r>
                </w:p>
              </w:tc>
              <w:tc>
                <w:tcPr>
                  <w:tcW w:w="2690"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《地表水环境质量标准》（GB3838-2002）Ⅳ类</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906"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声</w:t>
                  </w:r>
                </w:p>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环境</w:t>
                  </w:r>
                </w:p>
              </w:tc>
              <w:tc>
                <w:tcPr>
                  <w:tcW w:w="199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厂界</w:t>
                  </w:r>
                </w:p>
              </w:tc>
              <w:tc>
                <w:tcPr>
                  <w:tcW w:w="2318" w:type="dxa"/>
                  <w:gridSpan w:val="2"/>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1m</w:t>
                  </w:r>
                </w:p>
              </w:tc>
              <w:tc>
                <w:tcPr>
                  <w:tcW w:w="116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2690" w:type="dxa"/>
                  <w:tcMar>
                    <w:top w:w="28" w:type="dxa"/>
                    <w:left w:w="28" w:type="dxa"/>
                    <w:bottom w:w="28" w:type="dxa"/>
                    <w:right w:w="28" w:type="dxa"/>
                  </w:tcMar>
                  <w:vAlign w:val="center"/>
                </w:tcPr>
                <w:p>
                  <w:pPr>
                    <w:pStyle w:val="15"/>
                    <w:kinsoku w:val="0"/>
                    <w:overflowPunct w:val="0"/>
                    <w:spacing w:before="3" w:line="266" w:lineRule="exact"/>
                    <w:ind w:left="-1" w:right="1" w:firstLine="420"/>
                    <w:jc w:val="center"/>
                    <w:rPr>
                      <w:rFonts w:ascii="Times New Roman" w:hAnsi="Times New Roman" w:cs="Times New Roman"/>
                      <w:sz w:val="21"/>
                      <w:szCs w:val="21"/>
                    </w:rPr>
                  </w:pPr>
                  <w:r>
                    <w:rPr>
                      <w:rFonts w:ascii="Times New Roman" w:hAnsi="Times New Roman" w:cs="Times New Roman"/>
                      <w:sz w:val="21"/>
                      <w:szCs w:val="21"/>
                    </w:rPr>
                    <w:t>《声环境质量标准》(GB3096–2008) 2类标准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906" w:type="dxa"/>
                  <w:vMerge w:val="restart"/>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生态</w:t>
                  </w:r>
                </w:p>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环境</w:t>
                  </w:r>
                </w:p>
              </w:tc>
              <w:tc>
                <w:tcPr>
                  <w:tcW w:w="199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城市生态公益林</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SE</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2200m</w:t>
                  </w:r>
                </w:p>
              </w:tc>
              <w:tc>
                <w:tcPr>
                  <w:tcW w:w="116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5.73km</w:t>
                  </w:r>
                  <w:r>
                    <w:rPr>
                      <w:rFonts w:ascii="Times New Roman" w:hAnsi="Times New Roman" w:cs="Times New Roman"/>
                      <w:sz w:val="21"/>
                      <w:szCs w:val="21"/>
                      <w:vertAlign w:val="superscript"/>
                    </w:rPr>
                    <w:t>2</w:t>
                  </w:r>
                </w:p>
              </w:tc>
              <w:tc>
                <w:tcPr>
                  <w:tcW w:w="2690"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《江苏省生态红线区域保护规划》二级管控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906" w:type="dxa"/>
                  <w:vMerge w:val="continue"/>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p>
              </w:tc>
              <w:tc>
                <w:tcPr>
                  <w:tcW w:w="199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六合国家地质公园</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E</w:t>
                  </w:r>
                </w:p>
              </w:tc>
              <w:tc>
                <w:tcPr>
                  <w:tcW w:w="115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8900</w:t>
                  </w:r>
                </w:p>
              </w:tc>
              <w:tc>
                <w:tcPr>
                  <w:tcW w:w="116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13.04km</w:t>
                  </w:r>
                  <w:r>
                    <w:rPr>
                      <w:rFonts w:ascii="Times New Roman" w:hAnsi="Times New Roman" w:cs="Times New Roman"/>
                      <w:sz w:val="21"/>
                      <w:szCs w:val="21"/>
                      <w:vertAlign w:val="superscript"/>
                    </w:rPr>
                    <w:t>2</w:t>
                  </w:r>
                </w:p>
              </w:tc>
              <w:tc>
                <w:tcPr>
                  <w:tcW w:w="2690"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《江苏省生态红线区域保护规划》二级管控</w:t>
                  </w:r>
                </w:p>
              </w:tc>
            </w:tr>
          </w:tbl>
          <w:p>
            <w:pPr>
              <w:ind w:firstLine="0" w:firstLineChars="0"/>
              <w:rPr>
                <w:rFonts w:ascii="Times New Roman" w:hAnsi="Times New Roman" w:cs="Times New Roman"/>
              </w:rPr>
            </w:pPr>
          </w:p>
          <w:p>
            <w:pPr>
              <w:ind w:firstLine="0" w:firstLineChars="0"/>
              <w:rPr>
                <w:rFonts w:ascii="Times New Roman" w:hAnsi="Times New Roman" w:cs="Times New Roman"/>
              </w:rPr>
            </w:pPr>
          </w:p>
        </w:tc>
      </w:tr>
    </w:tbl>
    <w:p>
      <w:pPr>
        <w:pStyle w:val="2"/>
        <w:jc w:val="left"/>
        <w:rPr>
          <w:rFonts w:ascii="Times New Roman" w:hAnsi="Times New Roman" w:cs="Times New Roman"/>
        </w:rPr>
      </w:pPr>
      <w:r>
        <w:rPr>
          <w:rFonts w:ascii="Times New Roman" w:hAnsi="Times New Roman" w:cs="Times New Roman"/>
        </w:rPr>
        <w:t>评价适用标准</w:t>
      </w:r>
    </w:p>
    <w:tbl>
      <w:tblPr>
        <w:tblStyle w:val="11"/>
        <w:tblW w:w="912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5"/>
        <w:gridCol w:w="85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27" w:hRule="atLeast"/>
        </w:trPr>
        <w:tc>
          <w:tcPr>
            <w:tcW w:w="585" w:type="dxa"/>
            <w:tcMar>
              <w:top w:w="28" w:type="dxa"/>
              <w:left w:w="28" w:type="dxa"/>
              <w:bottom w:w="28" w:type="dxa"/>
              <w:right w:w="28" w:type="dxa"/>
            </w:tcMar>
            <w:vAlign w:val="center"/>
          </w:tcPr>
          <w:p>
            <w:pPr>
              <w:spacing w:before="60" w:beforeLines="25" w:after="60" w:afterLines="25" w:line="240" w:lineRule="auto"/>
              <w:ind w:firstLine="0" w:firstLineChars="0"/>
              <w:jc w:val="center"/>
              <w:rPr>
                <w:rFonts w:ascii="Times New Roman" w:hAnsi="Times New Roman" w:cs="Times New Roman"/>
                <w:b/>
              </w:rPr>
            </w:pPr>
            <w:r>
              <w:rPr>
                <w:rFonts w:ascii="Times New Roman" w:hAnsi="Times New Roman" w:cs="Times New Roman"/>
                <w:b/>
              </w:rPr>
              <w:t>环</w:t>
            </w:r>
          </w:p>
          <w:p>
            <w:pPr>
              <w:spacing w:before="60" w:beforeLines="25" w:after="60" w:afterLines="25" w:line="240" w:lineRule="auto"/>
              <w:ind w:firstLine="0" w:firstLineChars="0"/>
              <w:jc w:val="center"/>
              <w:rPr>
                <w:rFonts w:ascii="Times New Roman" w:hAnsi="Times New Roman" w:cs="Times New Roman"/>
                <w:b/>
              </w:rPr>
            </w:pPr>
            <w:r>
              <w:rPr>
                <w:rFonts w:ascii="Times New Roman" w:hAnsi="Times New Roman" w:cs="Times New Roman"/>
                <w:b/>
              </w:rPr>
              <w:t>境</w:t>
            </w:r>
          </w:p>
          <w:p>
            <w:pPr>
              <w:spacing w:before="60" w:beforeLines="25" w:after="60" w:afterLines="25" w:line="240" w:lineRule="auto"/>
              <w:ind w:firstLine="0" w:firstLineChars="0"/>
              <w:jc w:val="center"/>
              <w:rPr>
                <w:rFonts w:ascii="Times New Roman" w:hAnsi="Times New Roman" w:cs="Times New Roman"/>
                <w:b/>
              </w:rPr>
            </w:pPr>
            <w:r>
              <w:rPr>
                <w:rFonts w:ascii="Times New Roman" w:hAnsi="Times New Roman" w:cs="Times New Roman"/>
                <w:b/>
              </w:rPr>
              <w:t>质</w:t>
            </w:r>
          </w:p>
          <w:p>
            <w:pPr>
              <w:spacing w:before="60" w:beforeLines="25" w:after="60" w:afterLines="25" w:line="240" w:lineRule="auto"/>
              <w:ind w:firstLine="0" w:firstLineChars="0"/>
              <w:jc w:val="center"/>
              <w:rPr>
                <w:rFonts w:ascii="Times New Roman" w:hAnsi="Times New Roman" w:cs="Times New Roman"/>
                <w:b/>
              </w:rPr>
            </w:pPr>
            <w:r>
              <w:rPr>
                <w:rFonts w:ascii="Times New Roman" w:hAnsi="Times New Roman" w:cs="Times New Roman"/>
                <w:b/>
              </w:rPr>
              <w:t>量</w:t>
            </w:r>
          </w:p>
          <w:p>
            <w:pPr>
              <w:spacing w:before="60" w:beforeLines="25" w:after="60" w:afterLines="25" w:line="240" w:lineRule="auto"/>
              <w:ind w:firstLine="0" w:firstLineChars="0"/>
              <w:jc w:val="center"/>
              <w:rPr>
                <w:rFonts w:ascii="Times New Roman" w:hAnsi="Times New Roman" w:cs="Times New Roman"/>
                <w:b/>
              </w:rPr>
            </w:pPr>
            <w:r>
              <w:rPr>
                <w:rFonts w:ascii="Times New Roman" w:hAnsi="Times New Roman" w:cs="Times New Roman"/>
                <w:b/>
              </w:rPr>
              <w:t>标</w:t>
            </w:r>
          </w:p>
          <w:p>
            <w:pPr>
              <w:spacing w:before="60" w:beforeLines="25" w:after="60" w:afterLines="25" w:line="240" w:lineRule="auto"/>
              <w:ind w:firstLine="0" w:firstLineChars="0"/>
              <w:jc w:val="center"/>
              <w:rPr>
                <w:rFonts w:ascii="Times New Roman" w:hAnsi="Times New Roman" w:cs="Times New Roman"/>
                <w:b/>
              </w:rPr>
            </w:pPr>
            <w:r>
              <w:rPr>
                <w:rFonts w:ascii="Times New Roman" w:hAnsi="Times New Roman" w:cs="Times New Roman"/>
                <w:b/>
              </w:rPr>
              <w:t>准</w:t>
            </w:r>
          </w:p>
        </w:tc>
        <w:tc>
          <w:tcPr>
            <w:tcW w:w="8541" w:type="dxa"/>
            <w:tcMar>
              <w:top w:w="28" w:type="dxa"/>
              <w:left w:w="28" w:type="dxa"/>
              <w:bottom w:w="28" w:type="dxa"/>
              <w:right w:w="28" w:type="dxa"/>
            </w:tcMar>
            <w:vAlign w:val="center"/>
          </w:tcPr>
          <w:p>
            <w:pPr>
              <w:spacing w:line="440" w:lineRule="exact"/>
              <w:ind w:firstLine="480"/>
              <w:rPr>
                <w:rFonts w:ascii="Times New Roman" w:hAnsi="Times New Roman" w:cs="Times New Roman"/>
              </w:rPr>
            </w:pPr>
            <w:r>
              <w:rPr>
                <w:rFonts w:ascii="Times New Roman" w:hAnsi="Times New Roman" w:cs="Times New Roman"/>
              </w:rPr>
              <w:t>1、大气环境质量标准</w:t>
            </w:r>
          </w:p>
          <w:p>
            <w:pPr>
              <w:adjustRightInd w:val="0"/>
              <w:snapToGrid w:val="0"/>
              <w:spacing w:line="440" w:lineRule="exact"/>
              <w:ind w:firstLine="480"/>
              <w:rPr>
                <w:rFonts w:ascii="Times New Roman" w:hAnsi="Times New Roman" w:cs="Times New Roman"/>
              </w:rPr>
            </w:pPr>
            <w:r>
              <w:rPr>
                <w:rFonts w:ascii="Times New Roman" w:hAnsi="Times New Roman" w:cs="Times New Roman"/>
              </w:rPr>
              <w:t>SO</w:t>
            </w:r>
            <w:r>
              <w:rPr>
                <w:rFonts w:ascii="Times New Roman" w:hAnsi="Times New Roman" w:cs="Times New Roman"/>
                <w:vertAlign w:val="subscript"/>
              </w:rPr>
              <w:t>2</w:t>
            </w:r>
            <w:r>
              <w:rPr>
                <w:rFonts w:ascii="Times New Roman" w:hAnsi="Times New Roman" w:cs="Times New Roman"/>
              </w:rPr>
              <w:t>、NO</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kern w:val="44"/>
              </w:rPr>
              <w:t>PM</w:t>
            </w:r>
            <w:r>
              <w:rPr>
                <w:rFonts w:ascii="Times New Roman" w:hAnsi="Times New Roman" w:cs="Times New Roman"/>
                <w:kern w:val="44"/>
                <w:vertAlign w:val="subscript"/>
              </w:rPr>
              <w:t>10</w:t>
            </w:r>
            <w:r>
              <w:rPr>
                <w:rFonts w:ascii="Times New Roman" w:hAnsi="Times New Roman" w:cs="Times New Roman"/>
              </w:rPr>
              <w:t>执行《环境空气质量标准》（GB3095-2012）二级标准，TVOC执行《室内空气质量标准》（GBT18883-2002），具体数值见表10。</w:t>
            </w:r>
          </w:p>
          <w:p>
            <w:pPr>
              <w:adjustRightInd w:val="0"/>
              <w:snapToGrid w:val="0"/>
              <w:spacing w:line="560" w:lineRule="exact"/>
              <w:ind w:firstLine="0" w:firstLineChars="0"/>
              <w:jc w:val="center"/>
              <w:rPr>
                <w:rFonts w:ascii="Times New Roman" w:hAnsi="Times New Roman" w:cs="Times New Roman"/>
                <w:snapToGrid w:val="0"/>
                <w:kern w:val="0"/>
                <w:sz w:val="21"/>
              </w:rPr>
            </w:pPr>
            <w:r>
              <w:rPr>
                <w:rFonts w:ascii="Times New Roman" w:hAnsi="Times New Roman" w:eastAsia="黑体" w:cs="Times New Roman"/>
              </w:rPr>
              <w:t>表10  环境空气质量标准</w:t>
            </w:r>
          </w:p>
          <w:tbl>
            <w:tblPr>
              <w:tblStyle w:val="11"/>
              <w:tblW w:w="8485"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
            <w:tblGrid>
              <w:gridCol w:w="511"/>
              <w:gridCol w:w="1000"/>
              <w:gridCol w:w="1475"/>
              <w:gridCol w:w="1475"/>
              <w:gridCol w:w="1475"/>
              <w:gridCol w:w="2549"/>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cantSplit/>
                <w:trHeight w:val="340" w:hRule="atLeast"/>
                <w:jc w:val="center"/>
              </w:trPr>
              <w:tc>
                <w:tcPr>
                  <w:tcW w:w="51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序号</w:t>
                  </w:r>
                </w:p>
              </w:tc>
              <w:tc>
                <w:tcPr>
                  <w:tcW w:w="1000"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监测因子</w:t>
                  </w:r>
                </w:p>
              </w:tc>
              <w:tc>
                <w:tcPr>
                  <w:tcW w:w="147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小时平均（</w:t>
                  </w:r>
                  <w:r>
                    <w:rPr>
                      <w:rFonts w:ascii="Times New Roman" w:hAnsi="Times New Roman" w:cs="Times New Roman"/>
                      <w:snapToGrid w:val="0"/>
                      <w:spacing w:val="10"/>
                      <w:kern w:val="0"/>
                      <w:sz w:val="21"/>
                    </w:rPr>
                    <w:t>mg/m</w:t>
                  </w:r>
                  <w:r>
                    <w:rPr>
                      <w:rFonts w:ascii="Times New Roman" w:hAnsi="Times New Roman" w:cs="Times New Roman"/>
                      <w:snapToGrid w:val="0"/>
                      <w:spacing w:val="10"/>
                      <w:kern w:val="0"/>
                      <w:sz w:val="21"/>
                      <w:vertAlign w:val="superscript"/>
                    </w:rPr>
                    <w:t>3</w:t>
                  </w:r>
                  <w:r>
                    <w:rPr>
                      <w:rFonts w:ascii="Times New Roman" w:hAnsi="Times New Roman" w:cs="Times New Roman"/>
                      <w:sz w:val="21"/>
                    </w:rPr>
                    <w:t>）</w:t>
                  </w:r>
                </w:p>
              </w:tc>
              <w:tc>
                <w:tcPr>
                  <w:tcW w:w="147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8小时平均（</w:t>
                  </w:r>
                  <w:r>
                    <w:rPr>
                      <w:rFonts w:ascii="Times New Roman" w:hAnsi="Times New Roman" w:cs="Times New Roman"/>
                      <w:snapToGrid w:val="0"/>
                      <w:spacing w:val="10"/>
                      <w:kern w:val="0"/>
                      <w:sz w:val="21"/>
                    </w:rPr>
                    <w:t>mg/m</w:t>
                  </w:r>
                  <w:r>
                    <w:rPr>
                      <w:rFonts w:ascii="Times New Roman" w:hAnsi="Times New Roman" w:cs="Times New Roman"/>
                      <w:snapToGrid w:val="0"/>
                      <w:spacing w:val="10"/>
                      <w:kern w:val="0"/>
                      <w:sz w:val="21"/>
                      <w:vertAlign w:val="superscript"/>
                    </w:rPr>
                    <w:t>3</w:t>
                  </w:r>
                  <w:r>
                    <w:rPr>
                      <w:rFonts w:ascii="Times New Roman" w:hAnsi="Times New Roman" w:cs="Times New Roman"/>
                      <w:sz w:val="21"/>
                    </w:rPr>
                    <w:t>）</w:t>
                  </w:r>
                </w:p>
              </w:tc>
              <w:tc>
                <w:tcPr>
                  <w:tcW w:w="147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24h平均（</w:t>
                  </w:r>
                  <w:r>
                    <w:rPr>
                      <w:rFonts w:ascii="Times New Roman" w:hAnsi="Times New Roman" w:cs="Times New Roman"/>
                      <w:snapToGrid w:val="0"/>
                      <w:spacing w:val="10"/>
                      <w:kern w:val="0"/>
                      <w:sz w:val="21"/>
                    </w:rPr>
                    <w:t>mg/m</w:t>
                  </w:r>
                  <w:r>
                    <w:rPr>
                      <w:rFonts w:ascii="Times New Roman" w:hAnsi="Times New Roman" w:cs="Times New Roman"/>
                      <w:snapToGrid w:val="0"/>
                      <w:spacing w:val="10"/>
                      <w:kern w:val="0"/>
                      <w:sz w:val="21"/>
                      <w:vertAlign w:val="superscript"/>
                    </w:rPr>
                    <w:t>3</w:t>
                  </w:r>
                  <w:r>
                    <w:rPr>
                      <w:rFonts w:ascii="Times New Roman" w:hAnsi="Times New Roman" w:cs="Times New Roman"/>
                      <w:sz w:val="21"/>
                    </w:rPr>
                    <w:t>）</w:t>
                  </w:r>
                </w:p>
              </w:tc>
              <w:tc>
                <w:tcPr>
                  <w:tcW w:w="254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标准来源</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cantSplit/>
                <w:trHeight w:val="340" w:hRule="atLeast"/>
                <w:jc w:val="center"/>
              </w:trPr>
              <w:tc>
                <w:tcPr>
                  <w:tcW w:w="51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1</w:t>
                  </w:r>
                </w:p>
              </w:tc>
              <w:tc>
                <w:tcPr>
                  <w:tcW w:w="1000"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NO</w:t>
                  </w:r>
                  <w:r>
                    <w:rPr>
                      <w:rFonts w:ascii="Times New Roman" w:hAnsi="Times New Roman" w:cs="Times New Roman"/>
                      <w:sz w:val="21"/>
                      <w:vertAlign w:val="subscript"/>
                    </w:rPr>
                    <w:t>2</w:t>
                  </w:r>
                </w:p>
              </w:tc>
              <w:tc>
                <w:tcPr>
                  <w:tcW w:w="147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0.2</w:t>
                  </w:r>
                </w:p>
              </w:tc>
              <w:tc>
                <w:tcPr>
                  <w:tcW w:w="147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w:t>
                  </w:r>
                </w:p>
              </w:tc>
              <w:tc>
                <w:tcPr>
                  <w:tcW w:w="147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0.08</w:t>
                  </w:r>
                </w:p>
              </w:tc>
              <w:tc>
                <w:tcPr>
                  <w:tcW w:w="2549" w:type="dxa"/>
                  <w:vMerge w:val="restart"/>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《环境空气质量标准》（GB3095-2012）二级标准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cantSplit/>
                <w:trHeight w:val="340" w:hRule="atLeast"/>
                <w:jc w:val="center"/>
              </w:trPr>
              <w:tc>
                <w:tcPr>
                  <w:tcW w:w="51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2</w:t>
                  </w:r>
                </w:p>
              </w:tc>
              <w:tc>
                <w:tcPr>
                  <w:tcW w:w="1000"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PM</w:t>
                  </w:r>
                  <w:r>
                    <w:rPr>
                      <w:rFonts w:ascii="Times New Roman" w:hAnsi="Times New Roman" w:cs="Times New Roman"/>
                      <w:sz w:val="21"/>
                      <w:vertAlign w:val="subscript"/>
                    </w:rPr>
                    <w:t>10</w:t>
                  </w:r>
                </w:p>
              </w:tc>
              <w:tc>
                <w:tcPr>
                  <w:tcW w:w="147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w:t>
                  </w:r>
                </w:p>
              </w:tc>
              <w:tc>
                <w:tcPr>
                  <w:tcW w:w="147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w:t>
                  </w:r>
                </w:p>
              </w:tc>
              <w:tc>
                <w:tcPr>
                  <w:tcW w:w="147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0.15</w:t>
                  </w:r>
                </w:p>
              </w:tc>
              <w:tc>
                <w:tcPr>
                  <w:tcW w:w="2549" w:type="dxa"/>
                  <w:vMerge w:val="continue"/>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cantSplit/>
                <w:trHeight w:val="340" w:hRule="atLeast"/>
                <w:jc w:val="center"/>
              </w:trPr>
              <w:tc>
                <w:tcPr>
                  <w:tcW w:w="51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3</w:t>
                  </w:r>
                </w:p>
              </w:tc>
              <w:tc>
                <w:tcPr>
                  <w:tcW w:w="1000"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SO</w:t>
                  </w:r>
                  <w:r>
                    <w:rPr>
                      <w:rFonts w:ascii="Times New Roman" w:hAnsi="Times New Roman" w:cs="Times New Roman"/>
                      <w:sz w:val="21"/>
                      <w:vertAlign w:val="subscript"/>
                    </w:rPr>
                    <w:t>2</w:t>
                  </w:r>
                </w:p>
              </w:tc>
              <w:tc>
                <w:tcPr>
                  <w:tcW w:w="147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0.5</w:t>
                  </w:r>
                </w:p>
              </w:tc>
              <w:tc>
                <w:tcPr>
                  <w:tcW w:w="147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w:t>
                  </w:r>
                </w:p>
              </w:tc>
              <w:tc>
                <w:tcPr>
                  <w:tcW w:w="147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0.15</w:t>
                  </w:r>
                </w:p>
              </w:tc>
              <w:tc>
                <w:tcPr>
                  <w:tcW w:w="2549" w:type="dxa"/>
                  <w:vMerge w:val="continue"/>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cantSplit/>
                <w:trHeight w:val="340" w:hRule="atLeast"/>
                <w:jc w:val="center"/>
              </w:trPr>
              <w:tc>
                <w:tcPr>
                  <w:tcW w:w="51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4</w:t>
                  </w:r>
                </w:p>
              </w:tc>
              <w:tc>
                <w:tcPr>
                  <w:tcW w:w="1000"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TVOC</w:t>
                  </w:r>
                </w:p>
              </w:tc>
              <w:tc>
                <w:tcPr>
                  <w:tcW w:w="147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w:t>
                  </w:r>
                </w:p>
              </w:tc>
              <w:tc>
                <w:tcPr>
                  <w:tcW w:w="147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0.6</w:t>
                  </w:r>
                </w:p>
              </w:tc>
              <w:tc>
                <w:tcPr>
                  <w:tcW w:w="147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w:t>
                  </w:r>
                </w:p>
              </w:tc>
              <w:tc>
                <w:tcPr>
                  <w:tcW w:w="254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《室内空气质量标准》（GBT18883-2002）</w:t>
                  </w:r>
                </w:p>
              </w:tc>
            </w:tr>
          </w:tbl>
          <w:p>
            <w:pPr>
              <w:spacing w:line="440" w:lineRule="exact"/>
              <w:ind w:firstLine="480"/>
              <w:rPr>
                <w:rFonts w:ascii="Times New Roman" w:hAnsi="Times New Roman" w:cs="Times New Roman"/>
              </w:rPr>
            </w:pPr>
            <w:r>
              <w:rPr>
                <w:rFonts w:ascii="Times New Roman" w:hAnsi="Times New Roman" w:cs="Times New Roman"/>
              </w:rPr>
              <w:t>2、地表水环境质量标准</w:t>
            </w:r>
          </w:p>
          <w:p>
            <w:pPr>
              <w:spacing w:line="440" w:lineRule="exact"/>
              <w:ind w:firstLine="480"/>
              <w:rPr>
                <w:rFonts w:ascii="Times New Roman" w:hAnsi="Times New Roman" w:cs="Times New Roman"/>
              </w:rPr>
            </w:pPr>
            <w:r>
              <w:rPr>
                <w:rFonts w:ascii="Times New Roman" w:hAnsi="Times New Roman" w:cs="Times New Roman"/>
                <w:szCs w:val="24"/>
              </w:rPr>
              <w:t>根据《江苏省地表水（环境）功能区划》，项目所在地主要河流为长江、滁河，长江执行《地表水环境质量标准》(GB3838-2002)Ⅱ类水质标准，滁河执行《地表水环境质量标准》(GB3838-2002)Ⅳ类水标准，</w:t>
            </w:r>
            <w:r>
              <w:rPr>
                <w:rFonts w:ascii="Times New Roman" w:hAnsi="Times New Roman" w:cs="Times New Roman"/>
              </w:rPr>
              <w:t>详见表11。</w:t>
            </w:r>
          </w:p>
          <w:p>
            <w:pPr>
              <w:adjustRightInd w:val="0"/>
              <w:snapToGrid w:val="0"/>
              <w:spacing w:line="560" w:lineRule="exact"/>
              <w:ind w:firstLine="0" w:firstLineChars="0"/>
              <w:jc w:val="center"/>
              <w:rPr>
                <w:rFonts w:ascii="Times New Roman" w:hAnsi="Times New Roman" w:cs="Times New Roman"/>
                <w:bCs/>
                <w:sz w:val="21"/>
                <w:szCs w:val="24"/>
              </w:rPr>
            </w:pPr>
            <w:r>
              <w:rPr>
                <w:rFonts w:ascii="Times New Roman" w:hAnsi="Times New Roman" w:eastAsia="黑体" w:cs="Times New Roman"/>
              </w:rPr>
              <w:t>表11  地表水环境质量标准限值</w:t>
            </w:r>
          </w:p>
          <w:tbl>
            <w:tblPr>
              <w:tblStyle w:val="11"/>
              <w:tblW w:w="8485"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1061"/>
              <w:gridCol w:w="1060"/>
              <w:gridCol w:w="1061"/>
              <w:gridCol w:w="1061"/>
              <w:gridCol w:w="1060"/>
              <w:gridCol w:w="1061"/>
              <w:gridCol w:w="106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60"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项目</w:t>
                  </w:r>
                </w:p>
              </w:tc>
              <w:tc>
                <w:tcPr>
                  <w:tcW w:w="106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pH</w:t>
                  </w:r>
                </w:p>
              </w:tc>
              <w:tc>
                <w:tcPr>
                  <w:tcW w:w="1060"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vertAlign w:val="subscript"/>
                    </w:rPr>
                  </w:pPr>
                  <w:r>
                    <w:rPr>
                      <w:rFonts w:ascii="Times New Roman" w:hAnsi="Times New Roman" w:cs="Times New Roman"/>
                      <w:sz w:val="21"/>
                      <w:szCs w:val="21"/>
                    </w:rPr>
                    <w:t>COD</w:t>
                  </w:r>
                  <w:r>
                    <w:rPr>
                      <w:rFonts w:ascii="Times New Roman" w:hAnsi="Times New Roman" w:cs="Times New Roman"/>
                      <w:sz w:val="21"/>
                      <w:szCs w:val="21"/>
                      <w:vertAlign w:val="subscript"/>
                    </w:rPr>
                    <w:t>cr</w:t>
                  </w:r>
                </w:p>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bCs/>
                      <w:sz w:val="21"/>
                      <w:szCs w:val="24"/>
                    </w:rPr>
                    <w:t>mg/L</w:t>
                  </w:r>
                  <w:r>
                    <w:rPr>
                      <w:rFonts w:ascii="Times New Roman" w:hAnsi="Times New Roman" w:cs="Times New Roman"/>
                      <w:sz w:val="21"/>
                      <w:szCs w:val="21"/>
                    </w:rPr>
                    <w:t>）</w:t>
                  </w:r>
                </w:p>
              </w:tc>
              <w:tc>
                <w:tcPr>
                  <w:tcW w:w="106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vertAlign w:val="subscript"/>
                    </w:rPr>
                  </w:pPr>
                  <w:r>
                    <w:rPr>
                      <w:rFonts w:ascii="Times New Roman" w:hAnsi="Times New Roman" w:cs="Times New Roman"/>
                      <w:sz w:val="21"/>
                      <w:szCs w:val="21"/>
                    </w:rPr>
                    <w:t>COD</w:t>
                  </w:r>
                  <w:r>
                    <w:rPr>
                      <w:rFonts w:ascii="Times New Roman" w:hAnsi="Times New Roman" w:cs="Times New Roman"/>
                      <w:sz w:val="21"/>
                      <w:szCs w:val="21"/>
                      <w:vertAlign w:val="subscript"/>
                    </w:rPr>
                    <w:t>mn</w:t>
                  </w:r>
                </w:p>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bCs/>
                      <w:sz w:val="21"/>
                      <w:szCs w:val="24"/>
                    </w:rPr>
                    <w:t>mg/L</w:t>
                  </w:r>
                  <w:r>
                    <w:rPr>
                      <w:rFonts w:ascii="Times New Roman" w:hAnsi="Times New Roman" w:cs="Times New Roman"/>
                      <w:sz w:val="21"/>
                      <w:szCs w:val="21"/>
                    </w:rPr>
                    <w:t>）</w:t>
                  </w:r>
                </w:p>
              </w:tc>
              <w:tc>
                <w:tcPr>
                  <w:tcW w:w="106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vertAlign w:val="subscript"/>
                    </w:rPr>
                  </w:pPr>
                  <w:r>
                    <w:rPr>
                      <w:rFonts w:ascii="Times New Roman" w:hAnsi="Times New Roman" w:cs="Times New Roman"/>
                      <w:sz w:val="21"/>
                      <w:szCs w:val="21"/>
                    </w:rPr>
                    <w:t>BOD</w:t>
                  </w:r>
                  <w:r>
                    <w:rPr>
                      <w:rFonts w:ascii="Times New Roman" w:hAnsi="Times New Roman" w:cs="Times New Roman"/>
                      <w:sz w:val="21"/>
                      <w:szCs w:val="21"/>
                      <w:vertAlign w:val="subscript"/>
                    </w:rPr>
                    <w:t>5</w:t>
                  </w:r>
                </w:p>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bCs/>
                      <w:sz w:val="21"/>
                      <w:szCs w:val="24"/>
                    </w:rPr>
                    <w:t>mg/L</w:t>
                  </w:r>
                  <w:r>
                    <w:rPr>
                      <w:rFonts w:ascii="Times New Roman" w:hAnsi="Times New Roman" w:cs="Times New Roman"/>
                      <w:sz w:val="21"/>
                      <w:szCs w:val="21"/>
                    </w:rPr>
                    <w:t>）</w:t>
                  </w:r>
                </w:p>
              </w:tc>
              <w:tc>
                <w:tcPr>
                  <w:tcW w:w="1060"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挥发酚</w:t>
                  </w:r>
                </w:p>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bCs/>
                      <w:sz w:val="21"/>
                      <w:szCs w:val="24"/>
                    </w:rPr>
                    <w:t>mg/L</w:t>
                  </w:r>
                  <w:r>
                    <w:rPr>
                      <w:rFonts w:ascii="Times New Roman" w:hAnsi="Times New Roman" w:cs="Times New Roman"/>
                      <w:sz w:val="21"/>
                      <w:szCs w:val="21"/>
                    </w:rPr>
                    <w:t>）</w:t>
                  </w:r>
                </w:p>
              </w:tc>
              <w:tc>
                <w:tcPr>
                  <w:tcW w:w="106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NH</w:t>
                  </w:r>
                  <w:r>
                    <w:rPr>
                      <w:rFonts w:ascii="Times New Roman" w:hAnsi="Times New Roman" w:cs="Times New Roman"/>
                      <w:sz w:val="21"/>
                      <w:szCs w:val="21"/>
                      <w:vertAlign w:val="subscript"/>
                    </w:rPr>
                    <w:t>3</w:t>
                  </w:r>
                  <w:r>
                    <w:rPr>
                      <w:rFonts w:ascii="Times New Roman" w:hAnsi="Times New Roman" w:cs="Times New Roman"/>
                      <w:sz w:val="21"/>
                      <w:szCs w:val="21"/>
                    </w:rPr>
                    <w:t>-N</w:t>
                  </w:r>
                </w:p>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bCs/>
                      <w:sz w:val="21"/>
                      <w:szCs w:val="24"/>
                    </w:rPr>
                    <w:t>mg/L</w:t>
                  </w:r>
                  <w:r>
                    <w:rPr>
                      <w:rFonts w:ascii="Times New Roman" w:hAnsi="Times New Roman" w:cs="Times New Roman"/>
                      <w:sz w:val="21"/>
                      <w:szCs w:val="21"/>
                    </w:rPr>
                    <w:t>）</w:t>
                  </w:r>
                </w:p>
              </w:tc>
              <w:tc>
                <w:tcPr>
                  <w:tcW w:w="106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TP</w:t>
                  </w:r>
                </w:p>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bCs/>
                      <w:sz w:val="21"/>
                      <w:szCs w:val="24"/>
                    </w:rPr>
                    <w:t>mg/L</w:t>
                  </w:r>
                  <w:r>
                    <w:rPr>
                      <w:rFonts w:ascii="Times New Roman" w:hAnsi="Times New Roman" w:cs="Times New Roman"/>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60"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Ⅱ类</w:t>
                  </w:r>
                </w:p>
              </w:tc>
              <w:tc>
                <w:tcPr>
                  <w:tcW w:w="106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6~9</w:t>
                  </w:r>
                </w:p>
              </w:tc>
              <w:tc>
                <w:tcPr>
                  <w:tcW w:w="1060"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15</w:t>
                  </w:r>
                </w:p>
              </w:tc>
              <w:tc>
                <w:tcPr>
                  <w:tcW w:w="106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4</w:t>
                  </w:r>
                </w:p>
              </w:tc>
              <w:tc>
                <w:tcPr>
                  <w:tcW w:w="106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3</w:t>
                  </w:r>
                </w:p>
              </w:tc>
              <w:tc>
                <w:tcPr>
                  <w:tcW w:w="1060"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0.002</w:t>
                  </w:r>
                </w:p>
              </w:tc>
              <w:tc>
                <w:tcPr>
                  <w:tcW w:w="106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0.5</w:t>
                  </w:r>
                </w:p>
              </w:tc>
              <w:tc>
                <w:tcPr>
                  <w:tcW w:w="106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60"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Ⅳ类</w:t>
                  </w:r>
                </w:p>
              </w:tc>
              <w:tc>
                <w:tcPr>
                  <w:tcW w:w="106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6~9</w:t>
                  </w:r>
                </w:p>
              </w:tc>
              <w:tc>
                <w:tcPr>
                  <w:tcW w:w="1060"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30</w:t>
                  </w:r>
                </w:p>
              </w:tc>
              <w:tc>
                <w:tcPr>
                  <w:tcW w:w="106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10</w:t>
                  </w:r>
                </w:p>
              </w:tc>
              <w:tc>
                <w:tcPr>
                  <w:tcW w:w="106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6</w:t>
                  </w:r>
                </w:p>
              </w:tc>
              <w:tc>
                <w:tcPr>
                  <w:tcW w:w="1060"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0.01</w:t>
                  </w:r>
                </w:p>
              </w:tc>
              <w:tc>
                <w:tcPr>
                  <w:tcW w:w="106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1.5</w:t>
                  </w:r>
                </w:p>
              </w:tc>
              <w:tc>
                <w:tcPr>
                  <w:tcW w:w="106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0.3</w:t>
                  </w:r>
                </w:p>
              </w:tc>
            </w:tr>
          </w:tbl>
          <w:p>
            <w:pPr>
              <w:spacing w:line="440" w:lineRule="exact"/>
              <w:ind w:firstLine="480"/>
              <w:rPr>
                <w:rFonts w:ascii="Times New Roman" w:hAnsi="Times New Roman" w:cs="Times New Roman"/>
                <w:b/>
              </w:rPr>
            </w:pPr>
            <w:r>
              <w:rPr>
                <w:rFonts w:ascii="Times New Roman" w:hAnsi="Times New Roman" w:cs="Times New Roman"/>
              </w:rPr>
              <w:t>3、声环境质量标准</w:t>
            </w:r>
          </w:p>
          <w:p>
            <w:pPr>
              <w:adjustRightInd w:val="0"/>
              <w:snapToGrid w:val="0"/>
              <w:spacing w:line="440" w:lineRule="exact"/>
              <w:ind w:firstLine="480"/>
              <w:rPr>
                <w:rFonts w:ascii="Times New Roman" w:hAnsi="Times New Roman" w:cs="Times New Roman"/>
              </w:rPr>
            </w:pPr>
            <w:r>
              <w:rPr>
                <w:rFonts w:ascii="Times New Roman" w:hAnsi="Times New Roman" w:cs="Times New Roman"/>
              </w:rPr>
              <w:t>项目执行《声环境质量标准》（GB3096-2008）2类标准，见表12。</w:t>
            </w:r>
          </w:p>
          <w:p>
            <w:pPr>
              <w:snapToGrid w:val="0"/>
              <w:spacing w:line="440" w:lineRule="exact"/>
              <w:ind w:firstLine="0" w:firstLineChars="0"/>
              <w:jc w:val="center"/>
              <w:rPr>
                <w:rFonts w:ascii="Times New Roman" w:hAnsi="Times New Roman" w:eastAsia="黑体" w:cs="Times New Roman"/>
                <w:snapToGrid w:val="0"/>
                <w:kern w:val="0"/>
              </w:rPr>
            </w:pPr>
            <w:r>
              <w:rPr>
                <w:rFonts w:ascii="Times New Roman" w:hAnsi="Times New Roman" w:eastAsia="黑体" w:cs="Times New Roman"/>
                <w:snapToGrid w:val="0"/>
                <w:kern w:val="0"/>
              </w:rPr>
              <w:t>表12  环境噪声质量评价标准</w:t>
            </w:r>
          </w:p>
          <w:tbl>
            <w:tblPr>
              <w:tblStyle w:val="11"/>
              <w:tblpPr w:leftFromText="180" w:rightFromText="180" w:vertAnchor="text" w:horzAnchor="margin" w:tblpY="334"/>
              <w:tblOverlap w:val="never"/>
              <w:tblW w:w="8485"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
            <w:tblGrid>
              <w:gridCol w:w="3124"/>
              <w:gridCol w:w="2681"/>
              <w:gridCol w:w="268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cantSplit/>
                <w:trHeight w:val="340" w:hRule="exact"/>
              </w:trPr>
              <w:tc>
                <w:tcPr>
                  <w:tcW w:w="3124" w:type="dxa"/>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标准</w:t>
                  </w:r>
                </w:p>
              </w:tc>
              <w:tc>
                <w:tcPr>
                  <w:tcW w:w="2681" w:type="dxa"/>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昼间（dB(A)）</w:t>
                  </w:r>
                </w:p>
              </w:tc>
              <w:tc>
                <w:tcPr>
                  <w:tcW w:w="2680" w:type="dxa"/>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夜间（dB(A)）</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cantSplit/>
                <w:trHeight w:val="340" w:hRule="exact"/>
              </w:trPr>
              <w:tc>
                <w:tcPr>
                  <w:tcW w:w="3124" w:type="dxa"/>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2类区标准值</w:t>
                  </w:r>
                </w:p>
              </w:tc>
              <w:tc>
                <w:tcPr>
                  <w:tcW w:w="2681" w:type="dxa"/>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60</w:t>
                  </w:r>
                </w:p>
              </w:tc>
              <w:tc>
                <w:tcPr>
                  <w:tcW w:w="2680" w:type="dxa"/>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50</w:t>
                  </w:r>
                </w:p>
              </w:tc>
            </w:tr>
          </w:tbl>
          <w:p>
            <w:pPr>
              <w:adjustRightInd w:val="0"/>
              <w:snapToGrid w:val="0"/>
              <w:spacing w:line="440" w:lineRule="exact"/>
              <w:ind w:firstLine="480"/>
              <w:rPr>
                <w:rFonts w:ascii="Times New Roman" w:hAnsi="Times New Roman" w:cs="Times New Roman"/>
              </w:rPr>
            </w:pPr>
          </w:p>
          <w:p>
            <w:pPr>
              <w:snapToGrid w:val="0"/>
              <w:spacing w:line="440" w:lineRule="exact"/>
              <w:ind w:firstLine="0" w:firstLineChars="0"/>
              <w:jc w:val="center"/>
              <w:rPr>
                <w:rFonts w:ascii="Times New Roman" w:hAnsi="Times New Roman" w:eastAsia="黑体" w:cs="Times New Roman"/>
                <w:snapToGrid w:val="0"/>
                <w:kern w:val="0"/>
              </w:rPr>
            </w:pPr>
          </w:p>
          <w:p>
            <w:pPr>
              <w:snapToGrid w:val="0"/>
              <w:spacing w:line="440" w:lineRule="exact"/>
              <w:ind w:firstLine="0" w:firstLineChars="0"/>
              <w:jc w:val="center"/>
              <w:rPr>
                <w:rFonts w:ascii="Times New Roman" w:hAnsi="Times New Roman" w:eastAsia="黑体" w:cs="Times New Roman"/>
                <w:snapToGrid w:val="0"/>
                <w:kern w:val="0"/>
              </w:rPr>
            </w:pPr>
          </w:p>
          <w:p>
            <w:pPr>
              <w:spacing w:line="440" w:lineRule="exact"/>
              <w:ind w:firstLine="0" w:firstLineChars="0"/>
              <w:rPr>
                <w:rFonts w:ascii="Times New Roman" w:hAnsi="Times New Roman" w:cs="Times New Roman"/>
                <w:szCs w:val="24"/>
              </w:rPr>
            </w:pPr>
          </w:p>
          <w:p>
            <w:pPr>
              <w:spacing w:line="440" w:lineRule="exact"/>
              <w:ind w:firstLine="0" w:firstLineChars="0"/>
              <w:rPr>
                <w:rFonts w:ascii="Times New Roman" w:hAnsi="Times New Roman" w:cs="Times New Roman"/>
                <w:szCs w:val="24"/>
              </w:rPr>
            </w:pPr>
          </w:p>
          <w:p>
            <w:pPr>
              <w:spacing w:line="440" w:lineRule="exact"/>
              <w:ind w:firstLine="0" w:firstLineChars="0"/>
              <w:rPr>
                <w:rFonts w:ascii="Times New Roman" w:hAnsi="Times New Roman"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724" w:hRule="atLeast"/>
        </w:trPr>
        <w:tc>
          <w:tcPr>
            <w:tcW w:w="585" w:type="dxa"/>
            <w:tcMar>
              <w:top w:w="28" w:type="dxa"/>
              <w:left w:w="28" w:type="dxa"/>
              <w:bottom w:w="28" w:type="dxa"/>
              <w:right w:w="28" w:type="dxa"/>
            </w:tcMar>
            <w:vAlign w:val="center"/>
          </w:tcPr>
          <w:p>
            <w:pPr>
              <w:spacing w:before="60" w:beforeLines="25" w:after="60" w:afterLines="25" w:line="240" w:lineRule="auto"/>
              <w:ind w:firstLine="0" w:firstLineChars="0"/>
              <w:jc w:val="center"/>
              <w:rPr>
                <w:rFonts w:ascii="Times New Roman" w:hAnsi="Times New Roman" w:cs="Times New Roman"/>
                <w:b/>
              </w:rPr>
            </w:pPr>
            <w:r>
              <w:rPr>
                <w:rFonts w:ascii="Times New Roman" w:hAnsi="Times New Roman" w:cs="Times New Roman"/>
                <w:b/>
              </w:rPr>
              <w:t>污</w:t>
            </w:r>
          </w:p>
          <w:p>
            <w:pPr>
              <w:spacing w:before="60" w:beforeLines="25" w:after="60" w:afterLines="25" w:line="240" w:lineRule="auto"/>
              <w:ind w:firstLine="0" w:firstLineChars="0"/>
              <w:jc w:val="center"/>
              <w:rPr>
                <w:rFonts w:ascii="Times New Roman" w:hAnsi="Times New Roman" w:cs="Times New Roman"/>
                <w:b/>
              </w:rPr>
            </w:pPr>
            <w:r>
              <w:rPr>
                <w:rFonts w:ascii="Times New Roman" w:hAnsi="Times New Roman" w:cs="Times New Roman"/>
                <w:b/>
              </w:rPr>
              <w:t>染</w:t>
            </w:r>
          </w:p>
          <w:p>
            <w:pPr>
              <w:spacing w:before="60" w:beforeLines="25" w:after="60" w:afterLines="25" w:line="240" w:lineRule="auto"/>
              <w:ind w:firstLine="0" w:firstLineChars="0"/>
              <w:jc w:val="center"/>
              <w:rPr>
                <w:rFonts w:ascii="Times New Roman" w:hAnsi="Times New Roman" w:cs="Times New Roman"/>
                <w:b/>
              </w:rPr>
            </w:pPr>
            <w:r>
              <w:rPr>
                <w:rFonts w:ascii="Times New Roman" w:hAnsi="Times New Roman" w:cs="Times New Roman"/>
                <w:b/>
              </w:rPr>
              <w:t>物</w:t>
            </w:r>
          </w:p>
          <w:p>
            <w:pPr>
              <w:spacing w:before="60" w:beforeLines="25" w:after="60" w:afterLines="25" w:line="240" w:lineRule="auto"/>
              <w:ind w:firstLine="0" w:firstLineChars="0"/>
              <w:jc w:val="center"/>
              <w:rPr>
                <w:rFonts w:ascii="Times New Roman" w:hAnsi="Times New Roman" w:cs="Times New Roman"/>
                <w:b/>
              </w:rPr>
            </w:pPr>
            <w:r>
              <w:rPr>
                <w:rFonts w:ascii="Times New Roman" w:hAnsi="Times New Roman" w:cs="Times New Roman"/>
                <w:b/>
              </w:rPr>
              <w:t>排</w:t>
            </w:r>
          </w:p>
          <w:p>
            <w:pPr>
              <w:spacing w:before="60" w:beforeLines="25" w:after="60" w:afterLines="25" w:line="240" w:lineRule="auto"/>
              <w:ind w:firstLine="0" w:firstLineChars="0"/>
              <w:jc w:val="center"/>
              <w:rPr>
                <w:rFonts w:ascii="Times New Roman" w:hAnsi="Times New Roman" w:cs="Times New Roman"/>
                <w:b/>
              </w:rPr>
            </w:pPr>
            <w:r>
              <w:rPr>
                <w:rFonts w:ascii="Times New Roman" w:hAnsi="Times New Roman" w:cs="Times New Roman"/>
                <w:b/>
              </w:rPr>
              <w:t>放</w:t>
            </w:r>
          </w:p>
          <w:p>
            <w:pPr>
              <w:spacing w:before="60" w:beforeLines="25" w:after="60" w:afterLines="25" w:line="240" w:lineRule="auto"/>
              <w:ind w:firstLine="0" w:firstLineChars="0"/>
              <w:jc w:val="center"/>
              <w:rPr>
                <w:rFonts w:ascii="Times New Roman" w:hAnsi="Times New Roman" w:cs="Times New Roman"/>
                <w:b/>
              </w:rPr>
            </w:pPr>
            <w:r>
              <w:rPr>
                <w:rFonts w:ascii="Times New Roman" w:hAnsi="Times New Roman" w:cs="Times New Roman"/>
                <w:b/>
              </w:rPr>
              <w:t>标</w:t>
            </w:r>
          </w:p>
          <w:p>
            <w:pPr>
              <w:spacing w:before="60" w:beforeLines="25" w:after="60" w:afterLines="25" w:line="240" w:lineRule="auto"/>
              <w:ind w:firstLine="0" w:firstLineChars="0"/>
              <w:jc w:val="center"/>
              <w:rPr>
                <w:rFonts w:ascii="Times New Roman" w:hAnsi="Times New Roman" w:cs="Times New Roman"/>
                <w:b/>
              </w:rPr>
            </w:pPr>
            <w:r>
              <w:rPr>
                <w:rFonts w:ascii="Times New Roman" w:hAnsi="Times New Roman" w:cs="Times New Roman"/>
                <w:b/>
              </w:rPr>
              <w:t>准</w:t>
            </w:r>
          </w:p>
        </w:tc>
        <w:tc>
          <w:tcPr>
            <w:tcW w:w="8541" w:type="dxa"/>
            <w:tcMar>
              <w:top w:w="28" w:type="dxa"/>
              <w:left w:w="28" w:type="dxa"/>
              <w:bottom w:w="28" w:type="dxa"/>
              <w:right w:w="28" w:type="dxa"/>
            </w:tcMar>
            <w:vAlign w:val="center"/>
          </w:tcPr>
          <w:p>
            <w:pPr>
              <w:snapToGrid w:val="0"/>
              <w:spacing w:line="440" w:lineRule="exact"/>
              <w:ind w:firstLine="480"/>
              <w:jc w:val="left"/>
              <w:rPr>
                <w:rFonts w:ascii="Times New Roman" w:hAnsi="Times New Roman" w:cs="Times New Roman"/>
              </w:rPr>
            </w:pPr>
            <w:r>
              <w:rPr>
                <w:rFonts w:ascii="Times New Roman" w:hAnsi="Times New Roman" w:cs="Times New Roman"/>
              </w:rPr>
              <w:t>1、废气排放标准</w:t>
            </w:r>
          </w:p>
          <w:p>
            <w:pPr>
              <w:snapToGrid w:val="0"/>
              <w:spacing w:line="440" w:lineRule="exact"/>
              <w:ind w:firstLine="480"/>
              <w:jc w:val="left"/>
              <w:rPr>
                <w:rFonts w:ascii="Times New Roman" w:hAnsi="Times New Roman" w:cs="Times New Roman"/>
                <w:snapToGrid w:val="0"/>
                <w:kern w:val="0"/>
              </w:rPr>
            </w:pPr>
            <w:r>
              <w:rPr>
                <w:rFonts w:ascii="Times New Roman" w:hAnsi="Times New Roman" w:cs="Times New Roman"/>
              </w:rPr>
              <w:t>施工期：</w:t>
            </w:r>
            <w:r>
              <w:rPr>
                <w:rFonts w:ascii="Times New Roman" w:hAnsi="Times New Roman" w:cs="Times New Roman"/>
                <w:snapToGrid w:val="0"/>
                <w:kern w:val="0"/>
              </w:rPr>
              <w:t>施工扬尘执行《大气污染物综合排放标准》（GB16297-1996）。具体标准值见表13。</w:t>
            </w:r>
          </w:p>
          <w:p>
            <w:pPr>
              <w:snapToGrid w:val="0"/>
              <w:spacing w:line="440" w:lineRule="exact"/>
              <w:ind w:firstLine="0" w:firstLineChars="0"/>
              <w:jc w:val="center"/>
              <w:rPr>
                <w:rFonts w:ascii="Times New Roman" w:hAnsi="Times New Roman" w:cs="Times New Roman"/>
                <w:bCs/>
                <w:sz w:val="21"/>
                <w:szCs w:val="24"/>
              </w:rPr>
            </w:pPr>
            <w:r>
              <w:rPr>
                <w:rFonts w:ascii="Times New Roman" w:hAnsi="Times New Roman" w:eastAsia="黑体" w:cs="Times New Roman"/>
                <w:snapToGrid w:val="0"/>
                <w:kern w:val="0"/>
              </w:rPr>
              <w:t>表13  大气污染物综合排放标准</w:t>
            </w:r>
            <w:r>
              <w:rPr>
                <w:rFonts w:ascii="Times New Roman" w:hAnsi="Times New Roman" w:cs="Times New Roman"/>
                <w:bCs/>
                <w:sz w:val="21"/>
                <w:szCs w:val="24"/>
              </w:rPr>
              <w:t xml:space="preserve">                                                         </w:t>
            </w:r>
          </w:p>
          <w:tbl>
            <w:tblPr>
              <w:tblStyle w:val="11"/>
              <w:tblW w:w="8485" w:type="dxa"/>
              <w:jc w:val="center"/>
              <w:tblInd w:w="0" w:type="dxa"/>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827"/>
              <w:gridCol w:w="2828"/>
              <w:gridCol w:w="2830"/>
            </w:tblGrid>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827" w:type="dxa"/>
                  <w:vMerge w:val="restart"/>
                  <w:tcMar>
                    <w:top w:w="28" w:type="dxa"/>
                    <w:left w:w="28" w:type="dxa"/>
                    <w:bottom w:w="28" w:type="dxa"/>
                    <w:right w:w="28" w:type="dxa"/>
                  </w:tcMar>
                  <w:vAlign w:val="center"/>
                </w:tcPr>
                <w:p>
                  <w:pPr>
                    <w:pStyle w:val="12"/>
                    <w:rPr>
                      <w:rFonts w:ascii="Times New Roman" w:hAnsi="Times New Roman" w:cs="Times New Roman"/>
                    </w:rPr>
                  </w:pPr>
                  <w:r>
                    <w:rPr>
                      <w:rFonts w:ascii="Times New Roman" w:hAnsi="Times New Roman" w:cs="Times New Roman"/>
                    </w:rPr>
                    <w:t>污染物名称</w:t>
                  </w:r>
                </w:p>
              </w:tc>
              <w:tc>
                <w:tcPr>
                  <w:tcW w:w="5658" w:type="dxa"/>
                  <w:gridSpan w:val="2"/>
                  <w:tcMar>
                    <w:top w:w="28" w:type="dxa"/>
                    <w:left w:w="28" w:type="dxa"/>
                    <w:bottom w:w="28" w:type="dxa"/>
                    <w:right w:w="28" w:type="dxa"/>
                  </w:tcMar>
                  <w:vAlign w:val="center"/>
                </w:tcPr>
                <w:p>
                  <w:pPr>
                    <w:pStyle w:val="12"/>
                    <w:rPr>
                      <w:rFonts w:ascii="Times New Roman" w:hAnsi="Times New Roman" w:cs="Times New Roman"/>
                    </w:rPr>
                  </w:pPr>
                  <w:r>
                    <w:rPr>
                      <w:rFonts w:ascii="Times New Roman" w:hAnsi="Times New Roman" w:cs="Times New Roman"/>
                    </w:rPr>
                    <w:t>无组织废气排放监控浓度限值</w:t>
                  </w:r>
                </w:p>
              </w:tc>
            </w:tr>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827" w:type="dxa"/>
                  <w:vMerge w:val="continue"/>
                  <w:tcMar>
                    <w:top w:w="28" w:type="dxa"/>
                    <w:left w:w="28" w:type="dxa"/>
                    <w:bottom w:w="28" w:type="dxa"/>
                    <w:right w:w="28" w:type="dxa"/>
                  </w:tcMar>
                  <w:vAlign w:val="center"/>
                </w:tcPr>
                <w:p>
                  <w:pPr>
                    <w:pStyle w:val="12"/>
                    <w:rPr>
                      <w:rFonts w:ascii="Times New Roman" w:hAnsi="Times New Roman" w:cs="Times New Roman"/>
                    </w:rPr>
                  </w:pPr>
                </w:p>
              </w:tc>
              <w:tc>
                <w:tcPr>
                  <w:tcW w:w="2828" w:type="dxa"/>
                  <w:tcMar>
                    <w:top w:w="28" w:type="dxa"/>
                    <w:left w:w="28" w:type="dxa"/>
                    <w:bottom w:w="28" w:type="dxa"/>
                    <w:right w:w="28" w:type="dxa"/>
                  </w:tcMar>
                  <w:vAlign w:val="center"/>
                </w:tcPr>
                <w:p>
                  <w:pPr>
                    <w:pStyle w:val="12"/>
                    <w:rPr>
                      <w:rFonts w:ascii="Times New Roman" w:hAnsi="Times New Roman" w:cs="Times New Roman"/>
                    </w:rPr>
                  </w:pPr>
                  <w:r>
                    <w:rPr>
                      <w:rFonts w:ascii="Times New Roman" w:hAnsi="Times New Roman" w:cs="Times New Roman"/>
                    </w:rPr>
                    <w:t>监控点</w:t>
                  </w:r>
                </w:p>
              </w:tc>
              <w:tc>
                <w:tcPr>
                  <w:tcW w:w="2830" w:type="dxa"/>
                  <w:tcMar>
                    <w:top w:w="28" w:type="dxa"/>
                    <w:left w:w="28" w:type="dxa"/>
                    <w:bottom w:w="28" w:type="dxa"/>
                    <w:right w:w="28" w:type="dxa"/>
                  </w:tcMar>
                  <w:vAlign w:val="center"/>
                </w:tcPr>
                <w:p>
                  <w:pPr>
                    <w:pStyle w:val="12"/>
                    <w:rPr>
                      <w:rFonts w:ascii="Times New Roman" w:hAnsi="Times New Roman" w:cs="Times New Roman"/>
                    </w:rPr>
                  </w:pPr>
                  <w:r>
                    <w:rPr>
                      <w:rFonts w:ascii="Times New Roman" w:hAnsi="Times New Roman" w:cs="Times New Roman"/>
                    </w:rPr>
                    <w:t>浓度（</w:t>
                  </w:r>
                  <w:r>
                    <w:rPr>
                      <w:rFonts w:ascii="Times New Roman" w:hAnsi="Times New Roman" w:cs="Times New Roman"/>
                      <w:bCs w:val="0"/>
                      <w:szCs w:val="24"/>
                    </w:rPr>
                    <w:t>mg/m</w:t>
                  </w:r>
                  <w:r>
                    <w:rPr>
                      <w:rFonts w:ascii="Times New Roman" w:hAnsi="Times New Roman" w:cs="Times New Roman"/>
                      <w:bCs w:val="0"/>
                      <w:szCs w:val="24"/>
                      <w:vertAlign w:val="superscript"/>
                    </w:rPr>
                    <w:t>3</w:t>
                  </w:r>
                  <w:r>
                    <w:rPr>
                      <w:rFonts w:ascii="Times New Roman" w:hAnsi="Times New Roman" w:cs="Times New Roman"/>
                    </w:rPr>
                    <w:t>）</w:t>
                  </w:r>
                </w:p>
              </w:tc>
            </w:tr>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827" w:type="dxa"/>
                  <w:tcMar>
                    <w:top w:w="28" w:type="dxa"/>
                    <w:left w:w="28" w:type="dxa"/>
                    <w:bottom w:w="28" w:type="dxa"/>
                    <w:right w:w="28" w:type="dxa"/>
                  </w:tcMar>
                  <w:vAlign w:val="center"/>
                </w:tcPr>
                <w:p>
                  <w:pPr>
                    <w:pStyle w:val="12"/>
                    <w:rPr>
                      <w:rFonts w:ascii="Times New Roman" w:hAnsi="Times New Roman" w:cs="Times New Roman"/>
                    </w:rPr>
                  </w:pPr>
                  <w:r>
                    <w:rPr>
                      <w:rFonts w:ascii="Times New Roman" w:hAnsi="Times New Roman" w:cs="Times New Roman"/>
                    </w:rPr>
                    <w:t>颗粒物</w:t>
                  </w:r>
                </w:p>
              </w:tc>
              <w:tc>
                <w:tcPr>
                  <w:tcW w:w="2828" w:type="dxa"/>
                  <w:tcMar>
                    <w:top w:w="28" w:type="dxa"/>
                    <w:left w:w="28" w:type="dxa"/>
                    <w:bottom w:w="28" w:type="dxa"/>
                    <w:right w:w="28" w:type="dxa"/>
                  </w:tcMar>
                  <w:vAlign w:val="center"/>
                </w:tcPr>
                <w:p>
                  <w:pPr>
                    <w:pStyle w:val="12"/>
                    <w:rPr>
                      <w:rFonts w:ascii="Times New Roman" w:hAnsi="Times New Roman" w:cs="Times New Roman"/>
                    </w:rPr>
                  </w:pPr>
                  <w:r>
                    <w:rPr>
                      <w:rFonts w:ascii="Times New Roman" w:hAnsi="Times New Roman" w:cs="Times New Roman"/>
                    </w:rPr>
                    <w:t>周界外浓度最高点</w:t>
                  </w:r>
                </w:p>
              </w:tc>
              <w:tc>
                <w:tcPr>
                  <w:tcW w:w="2830" w:type="dxa"/>
                  <w:tcMar>
                    <w:top w:w="28" w:type="dxa"/>
                    <w:left w:w="28" w:type="dxa"/>
                    <w:bottom w:w="28" w:type="dxa"/>
                    <w:right w:w="28" w:type="dxa"/>
                  </w:tcMar>
                  <w:vAlign w:val="center"/>
                </w:tcPr>
                <w:p>
                  <w:pPr>
                    <w:pStyle w:val="12"/>
                    <w:rPr>
                      <w:rFonts w:ascii="Times New Roman" w:hAnsi="Times New Roman" w:cs="Times New Roman"/>
                    </w:rPr>
                  </w:pPr>
                  <w:r>
                    <w:rPr>
                      <w:rFonts w:ascii="Times New Roman" w:hAnsi="Times New Roman" w:cs="Times New Roman"/>
                    </w:rPr>
                    <w:t>1.0</w:t>
                  </w:r>
                </w:p>
              </w:tc>
            </w:tr>
          </w:tbl>
          <w:p>
            <w:pPr>
              <w:adjustRightInd w:val="0"/>
              <w:snapToGrid w:val="0"/>
              <w:spacing w:line="440" w:lineRule="exact"/>
              <w:ind w:firstLine="480"/>
              <w:rPr>
                <w:rFonts w:ascii="Times New Roman" w:hAnsi="Times New Roman" w:cs="Times New Roman"/>
              </w:rPr>
            </w:pPr>
            <w:r>
              <w:rPr>
                <w:rFonts w:ascii="Times New Roman" w:hAnsi="Times New Roman" w:cs="Times New Roman"/>
              </w:rPr>
              <w:t>运营期：根据《电池工业污染物排放标准》（GB30484-2013）编制说明P48：“锂电池生产过程中使用部分有机电解液，在密闭条件下注入，溶剂挥发性不强。涂布工序产生NMP废气（甲基吡咯烷酮），考虑标准执行的可操作性，执行非甲烷总烃。”故锂电池生产过程排放的有机污染物以“非甲烷总烃”计。</w:t>
            </w:r>
          </w:p>
          <w:p>
            <w:pPr>
              <w:adjustRightInd w:val="0"/>
              <w:snapToGrid w:val="0"/>
              <w:spacing w:line="440" w:lineRule="exact"/>
              <w:ind w:firstLine="480"/>
              <w:rPr>
                <w:rFonts w:ascii="Times New Roman" w:hAnsi="Times New Roman" w:cs="Times New Roman"/>
              </w:rPr>
            </w:pPr>
            <w:r>
              <w:rPr>
                <w:rFonts w:ascii="Times New Roman" w:hAnsi="Times New Roman" w:cs="Times New Roman"/>
              </w:rPr>
              <w:t>项目颗粒物与非甲烷总烃执行《电池工业污染物排放标准》(GB30484-2013)表6标准，大气排放标准见表14。</w:t>
            </w:r>
          </w:p>
          <w:p>
            <w:pPr>
              <w:snapToGrid w:val="0"/>
              <w:spacing w:line="440" w:lineRule="exact"/>
              <w:ind w:firstLine="0" w:firstLineChars="0"/>
              <w:jc w:val="center"/>
              <w:rPr>
                <w:rFonts w:ascii="Times New Roman" w:hAnsi="Times New Roman" w:eastAsia="黑体" w:cs="Times New Roman"/>
                <w:snapToGrid w:val="0"/>
                <w:kern w:val="0"/>
              </w:rPr>
            </w:pPr>
            <w:r>
              <w:rPr>
                <w:rFonts w:ascii="Times New Roman" w:hAnsi="Times New Roman" w:eastAsia="黑体" w:cs="Times New Roman"/>
                <w:snapToGrid w:val="0"/>
                <w:kern w:val="0"/>
              </w:rPr>
              <w:t>表14  大气污染物排放标准一览表</w:t>
            </w:r>
          </w:p>
          <w:tbl>
            <w:tblPr>
              <w:tblStyle w:val="11"/>
              <w:tblW w:w="8485"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368"/>
              <w:gridCol w:w="1560"/>
              <w:gridCol w:w="1700"/>
              <w:gridCol w:w="2975"/>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82" w:type="dxa"/>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污染源</w:t>
                  </w:r>
                </w:p>
              </w:tc>
              <w:tc>
                <w:tcPr>
                  <w:tcW w:w="1368" w:type="dxa"/>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污染物</w:t>
                  </w:r>
                </w:p>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名称</w:t>
                  </w:r>
                </w:p>
              </w:tc>
              <w:tc>
                <w:tcPr>
                  <w:tcW w:w="1560" w:type="dxa"/>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最高允许排放浓度（mg/m</w:t>
                  </w:r>
                  <w:r>
                    <w:rPr>
                      <w:rFonts w:ascii="Times New Roman" w:hAnsi="Times New Roman" w:cs="Times New Roman"/>
                      <w:bCs/>
                      <w:sz w:val="21"/>
                      <w:szCs w:val="21"/>
                      <w:vertAlign w:val="superscript"/>
                    </w:rPr>
                    <w:t>3</w:t>
                  </w:r>
                  <w:r>
                    <w:rPr>
                      <w:rFonts w:ascii="Times New Roman" w:hAnsi="Times New Roman" w:cs="Times New Roman"/>
                      <w:bCs/>
                      <w:sz w:val="21"/>
                      <w:szCs w:val="21"/>
                    </w:rPr>
                    <w:t>）</w:t>
                  </w:r>
                </w:p>
              </w:tc>
              <w:tc>
                <w:tcPr>
                  <w:tcW w:w="1700" w:type="dxa"/>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大气污染物浓度限值（mg/m</w:t>
                  </w:r>
                  <w:r>
                    <w:rPr>
                      <w:rFonts w:ascii="Times New Roman" w:hAnsi="Times New Roman" w:cs="Times New Roman"/>
                      <w:bCs/>
                      <w:sz w:val="21"/>
                      <w:szCs w:val="21"/>
                      <w:vertAlign w:val="superscript"/>
                    </w:rPr>
                    <w:t>3</w:t>
                  </w:r>
                  <w:r>
                    <w:rPr>
                      <w:rFonts w:ascii="Times New Roman" w:hAnsi="Times New Roman" w:cs="Times New Roman"/>
                      <w:bCs/>
                      <w:sz w:val="21"/>
                      <w:szCs w:val="21"/>
                    </w:rPr>
                    <w:t>）</w:t>
                  </w:r>
                </w:p>
              </w:tc>
              <w:tc>
                <w:tcPr>
                  <w:tcW w:w="2975" w:type="dxa"/>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标准来源</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82" w:type="dxa"/>
                  <w:vMerge w:val="restart"/>
                  <w:shd w:val="clear" w:color="auto" w:fill="auto"/>
                  <w:tcMar>
                    <w:top w:w="28" w:type="dxa"/>
                    <w:left w:w="28" w:type="dxa"/>
                    <w:bottom w:w="28" w:type="dxa"/>
                    <w:right w:w="28" w:type="dxa"/>
                  </w:tcMar>
                  <w:vAlign w:val="center"/>
                </w:tcPr>
                <w:p>
                  <w:pPr>
                    <w:tabs>
                      <w:tab w:val="left" w:pos="0"/>
                    </w:tabs>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无组织废气</w:t>
                  </w:r>
                </w:p>
              </w:tc>
              <w:tc>
                <w:tcPr>
                  <w:tcW w:w="1368" w:type="dxa"/>
                  <w:shd w:val="clear" w:color="auto" w:fill="auto"/>
                  <w:tcMar>
                    <w:top w:w="28" w:type="dxa"/>
                    <w:left w:w="28" w:type="dxa"/>
                    <w:bottom w:w="28" w:type="dxa"/>
                    <w:right w:w="28" w:type="dxa"/>
                  </w:tcMar>
                  <w:vAlign w:val="center"/>
                </w:tcPr>
                <w:p>
                  <w:pPr>
                    <w:tabs>
                      <w:tab w:val="left" w:pos="0"/>
                    </w:tabs>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颗粒物</w:t>
                  </w:r>
                </w:p>
              </w:tc>
              <w:tc>
                <w:tcPr>
                  <w:tcW w:w="1560" w:type="dxa"/>
                  <w:shd w:val="clear" w:color="auto" w:fill="auto"/>
                  <w:tcMar>
                    <w:top w:w="28" w:type="dxa"/>
                    <w:left w:w="28" w:type="dxa"/>
                    <w:bottom w:w="28" w:type="dxa"/>
                    <w:right w:w="28" w:type="dxa"/>
                  </w:tcMar>
                  <w:vAlign w:val="center"/>
                </w:tcPr>
                <w:p>
                  <w:pPr>
                    <w:tabs>
                      <w:tab w:val="left" w:pos="0"/>
                    </w:tabs>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1700" w:type="dxa"/>
                  <w:shd w:val="clear" w:color="auto" w:fill="auto"/>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0.3</w:t>
                  </w:r>
                </w:p>
              </w:tc>
              <w:tc>
                <w:tcPr>
                  <w:tcW w:w="2975" w:type="dxa"/>
                  <w:vMerge w:val="restart"/>
                  <w:tcMar>
                    <w:top w:w="28" w:type="dxa"/>
                    <w:left w:w="28" w:type="dxa"/>
                    <w:bottom w:w="28" w:type="dxa"/>
                    <w:right w:w="28" w:type="dxa"/>
                  </w:tcMar>
                  <w:vAlign w:val="center"/>
                </w:tcPr>
                <w:p>
                  <w:pPr>
                    <w:tabs>
                      <w:tab w:val="left" w:pos="0"/>
                    </w:tabs>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《电池工业污染物排放标准》(GB30484-2013)表6标准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82" w:type="dxa"/>
                  <w:vMerge w:val="continue"/>
                  <w:shd w:val="clear" w:color="auto" w:fill="auto"/>
                  <w:tcMar>
                    <w:top w:w="28" w:type="dxa"/>
                    <w:left w:w="28" w:type="dxa"/>
                    <w:bottom w:w="28" w:type="dxa"/>
                    <w:right w:w="28" w:type="dxa"/>
                  </w:tcMar>
                  <w:vAlign w:val="center"/>
                </w:tcPr>
                <w:p>
                  <w:pPr>
                    <w:tabs>
                      <w:tab w:val="left" w:pos="0"/>
                    </w:tabs>
                    <w:adjustRightInd w:val="0"/>
                    <w:snapToGrid w:val="0"/>
                    <w:spacing w:line="240" w:lineRule="auto"/>
                    <w:ind w:firstLine="0" w:firstLineChars="0"/>
                    <w:jc w:val="center"/>
                    <w:rPr>
                      <w:rFonts w:ascii="Times New Roman" w:hAnsi="Times New Roman" w:cs="Times New Roman"/>
                      <w:sz w:val="21"/>
                      <w:szCs w:val="21"/>
                    </w:rPr>
                  </w:pPr>
                </w:p>
              </w:tc>
              <w:tc>
                <w:tcPr>
                  <w:tcW w:w="1368" w:type="dxa"/>
                  <w:shd w:val="clear" w:color="auto" w:fill="auto"/>
                  <w:tcMar>
                    <w:top w:w="28" w:type="dxa"/>
                    <w:left w:w="28" w:type="dxa"/>
                    <w:bottom w:w="28" w:type="dxa"/>
                    <w:right w:w="28" w:type="dxa"/>
                  </w:tcMar>
                  <w:vAlign w:val="center"/>
                </w:tcPr>
                <w:p>
                  <w:pPr>
                    <w:tabs>
                      <w:tab w:val="left" w:pos="0"/>
                    </w:tabs>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非甲烷总烃</w:t>
                  </w:r>
                </w:p>
              </w:tc>
              <w:tc>
                <w:tcPr>
                  <w:tcW w:w="1560" w:type="dxa"/>
                  <w:shd w:val="clear" w:color="auto" w:fill="auto"/>
                  <w:tcMar>
                    <w:top w:w="28" w:type="dxa"/>
                    <w:left w:w="28" w:type="dxa"/>
                    <w:bottom w:w="28" w:type="dxa"/>
                    <w:right w:w="28" w:type="dxa"/>
                  </w:tcMar>
                  <w:vAlign w:val="center"/>
                </w:tcPr>
                <w:p>
                  <w:pPr>
                    <w:tabs>
                      <w:tab w:val="left" w:pos="0"/>
                    </w:tabs>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1700" w:type="dxa"/>
                  <w:shd w:val="clear" w:color="auto" w:fill="auto"/>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2.0</w:t>
                  </w:r>
                </w:p>
              </w:tc>
              <w:tc>
                <w:tcPr>
                  <w:tcW w:w="2975" w:type="dxa"/>
                  <w:vMerge w:val="continue"/>
                  <w:tcMar>
                    <w:top w:w="28" w:type="dxa"/>
                    <w:left w:w="28" w:type="dxa"/>
                    <w:bottom w:w="28" w:type="dxa"/>
                    <w:right w:w="28" w:type="dxa"/>
                  </w:tcMar>
                  <w:vAlign w:val="center"/>
                </w:tcPr>
                <w:p>
                  <w:pPr>
                    <w:tabs>
                      <w:tab w:val="left" w:pos="0"/>
                    </w:tabs>
                    <w:adjustRightInd w:val="0"/>
                    <w:snapToGrid w:val="0"/>
                    <w:spacing w:line="240" w:lineRule="auto"/>
                    <w:ind w:firstLine="0" w:firstLineChars="0"/>
                    <w:jc w:val="center"/>
                    <w:rPr>
                      <w:rFonts w:ascii="Times New Roman" w:hAnsi="Times New Roman" w:cs="Times New Roman"/>
                      <w:sz w:val="21"/>
                      <w:szCs w:val="21"/>
                    </w:rPr>
                  </w:pPr>
                </w:p>
              </w:tc>
            </w:tr>
          </w:tbl>
          <w:p>
            <w:pPr>
              <w:pStyle w:val="16"/>
              <w:spacing w:line="440" w:lineRule="exact"/>
              <w:ind w:firstLine="480" w:firstLineChars="200"/>
              <w:rPr>
                <w:rFonts w:ascii="Times New Roman" w:hAnsi="Times New Roman" w:cs="Times New Roman"/>
                <w:b w:val="0"/>
              </w:rPr>
            </w:pPr>
            <w:r>
              <w:rPr>
                <w:rFonts w:ascii="Times New Roman" w:hAnsi="Times New Roman" w:cs="Times New Roman"/>
                <w:b w:val="0"/>
              </w:rPr>
              <w:t>2、废水排放标准</w:t>
            </w:r>
          </w:p>
          <w:p>
            <w:pPr>
              <w:adjustRightInd w:val="0"/>
              <w:snapToGrid w:val="0"/>
              <w:spacing w:line="440" w:lineRule="exact"/>
              <w:ind w:firstLine="480"/>
              <w:rPr>
                <w:rFonts w:ascii="Times New Roman" w:hAnsi="Times New Roman" w:cs="Times New Roman"/>
              </w:rPr>
            </w:pPr>
            <w:r>
              <w:rPr>
                <w:rFonts w:ascii="Times New Roman" w:hAnsi="Times New Roman" w:cs="Times New Roman"/>
              </w:rPr>
              <w:t>项目工业污水经专门的污水处理设施处理达到《电池工业污染物排放标准》（GB30484-2013）表2新建企业水污染物排放限值以及《污水排入城镇下水道水质标准》（CJ343-2010）表1中B等级标准，生活污水经化粪池处理达六合区污水处理厂接管标准后，由当地市政污水管网排入六合区污水处理厂处理达到《城镇污水处理厂排放标准》（GB18198-2002）表1中一级A标准后排入滁河。相关标准值见下表。</w:t>
            </w:r>
          </w:p>
          <w:p>
            <w:pPr>
              <w:snapToGrid w:val="0"/>
              <w:spacing w:line="440" w:lineRule="exact"/>
              <w:ind w:firstLine="0" w:firstLineChars="0"/>
              <w:jc w:val="center"/>
              <w:rPr>
                <w:rFonts w:ascii="Times New Roman" w:hAnsi="Times New Roman" w:eastAsia="黑体" w:cs="Times New Roman"/>
                <w:snapToGrid w:val="0"/>
                <w:kern w:val="0"/>
              </w:rPr>
            </w:pPr>
            <w:r>
              <w:rPr>
                <w:rFonts w:ascii="Times New Roman" w:hAnsi="Times New Roman" w:eastAsia="黑体" w:cs="Times New Roman"/>
                <w:snapToGrid w:val="0"/>
                <w:kern w:val="0"/>
              </w:rPr>
              <w:t xml:space="preserve">表15  </w:t>
            </w:r>
            <w:r>
              <w:rPr>
                <w:rFonts w:ascii="Times New Roman" w:hAnsi="Times New Roman" w:eastAsia="黑体" w:cs="Times New Roman"/>
                <w:snapToGrid w:val="0"/>
                <w:kern w:val="0"/>
              </w:rPr>
              <w:tab/>
            </w:r>
            <w:r>
              <w:rPr>
                <w:rFonts w:ascii="Times New Roman" w:hAnsi="Times New Roman" w:eastAsia="黑体" w:cs="Times New Roman"/>
                <w:snapToGrid w:val="0"/>
                <w:kern w:val="0"/>
              </w:rPr>
              <w:t>厂区工业污水排放限值</w:t>
            </w:r>
          </w:p>
          <w:tbl>
            <w:tblPr>
              <w:tblStyle w:val="11"/>
              <w:tblW w:w="8485" w:type="dxa"/>
              <w:jc w:val="center"/>
              <w:tblInd w:w="0" w:type="dxa"/>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2392"/>
              <w:gridCol w:w="2551"/>
              <w:gridCol w:w="3542"/>
            </w:tblGrid>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Ex>
              <w:trPr>
                <w:trHeight w:val="340" w:hRule="atLeast"/>
                <w:jc w:val="center"/>
              </w:trPr>
              <w:tc>
                <w:tcPr>
                  <w:tcW w:w="2392" w:type="dxa"/>
                  <w:tcBorders>
                    <w:top w:val="single" w:color="000000" w:sz="10" w:space="0"/>
                    <w:left w:val="nil"/>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551" w:type="dxa"/>
                  <w:tcBorders>
                    <w:top w:val="single" w:color="000000" w:sz="10"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间接排放限值（mg/L）</w:t>
                  </w:r>
                </w:p>
              </w:tc>
              <w:tc>
                <w:tcPr>
                  <w:tcW w:w="3542" w:type="dxa"/>
                  <w:tcBorders>
                    <w:top w:val="single" w:color="000000" w:sz="10" w:space="0"/>
                    <w:left w:val="single" w:color="000000" w:sz="2" w:space="0"/>
                    <w:bottom w:val="single" w:color="000000" w:sz="2" w:space="0"/>
                    <w:right w:val="nil"/>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标准来源</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Ex>
              <w:trPr>
                <w:trHeight w:val="340" w:hRule="atLeast"/>
                <w:jc w:val="center"/>
              </w:trPr>
              <w:tc>
                <w:tcPr>
                  <w:tcW w:w="2392" w:type="dxa"/>
                  <w:tcBorders>
                    <w:top w:val="single" w:color="000000" w:sz="2" w:space="0"/>
                    <w:left w:val="nil"/>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pH（无量纲）</w:t>
                  </w:r>
                </w:p>
              </w:tc>
              <w:tc>
                <w:tcPr>
                  <w:tcW w:w="2551"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6~9</w:t>
                  </w:r>
                </w:p>
              </w:tc>
              <w:tc>
                <w:tcPr>
                  <w:tcW w:w="3542" w:type="dxa"/>
                  <w:vMerge w:val="restart"/>
                  <w:tcBorders>
                    <w:top w:val="single" w:color="000000" w:sz="2" w:space="0"/>
                    <w:left w:val="single" w:color="000000" w:sz="2" w:space="0"/>
                    <w:bottom w:val="single" w:color="000000" w:sz="2" w:space="0"/>
                    <w:right w:val="nil"/>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《电池工业污染物排放标准》（GB30484-2013）表2</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Ex>
              <w:trPr>
                <w:trHeight w:val="340" w:hRule="atLeast"/>
                <w:jc w:val="center"/>
              </w:trPr>
              <w:tc>
                <w:tcPr>
                  <w:tcW w:w="2392" w:type="dxa"/>
                  <w:tcBorders>
                    <w:top w:val="single" w:color="000000" w:sz="2" w:space="0"/>
                    <w:left w:val="nil"/>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COD</w:t>
                  </w:r>
                </w:p>
              </w:tc>
              <w:tc>
                <w:tcPr>
                  <w:tcW w:w="2551"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150</w:t>
                  </w:r>
                </w:p>
              </w:tc>
              <w:tc>
                <w:tcPr>
                  <w:tcW w:w="3542" w:type="dxa"/>
                  <w:vMerge w:val="continue"/>
                  <w:tcBorders>
                    <w:top w:val="single" w:color="000000" w:sz="2" w:space="0"/>
                    <w:left w:val="single" w:color="000000" w:sz="2" w:space="0"/>
                    <w:bottom w:val="single" w:color="000000" w:sz="2" w:space="0"/>
                    <w:right w:val="nil"/>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Ex>
              <w:trPr>
                <w:trHeight w:val="340" w:hRule="atLeast"/>
                <w:jc w:val="center"/>
              </w:trPr>
              <w:tc>
                <w:tcPr>
                  <w:tcW w:w="2392" w:type="dxa"/>
                  <w:tcBorders>
                    <w:top w:val="single" w:color="000000" w:sz="2" w:space="0"/>
                    <w:left w:val="nil"/>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SS</w:t>
                  </w:r>
                </w:p>
              </w:tc>
              <w:tc>
                <w:tcPr>
                  <w:tcW w:w="2551"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140</w:t>
                  </w:r>
                </w:p>
              </w:tc>
              <w:tc>
                <w:tcPr>
                  <w:tcW w:w="3542" w:type="dxa"/>
                  <w:vMerge w:val="continue"/>
                  <w:tcBorders>
                    <w:top w:val="single" w:color="000000" w:sz="2" w:space="0"/>
                    <w:left w:val="single" w:color="000000" w:sz="2" w:space="0"/>
                    <w:bottom w:val="single" w:color="000000" w:sz="2" w:space="0"/>
                    <w:right w:val="nil"/>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Ex>
              <w:trPr>
                <w:trHeight w:val="340" w:hRule="atLeast"/>
                <w:jc w:val="center"/>
              </w:trPr>
              <w:tc>
                <w:tcPr>
                  <w:tcW w:w="2392" w:type="dxa"/>
                  <w:tcBorders>
                    <w:top w:val="single" w:color="000000" w:sz="2" w:space="0"/>
                    <w:left w:val="nil"/>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总氮</w:t>
                  </w:r>
                </w:p>
              </w:tc>
              <w:tc>
                <w:tcPr>
                  <w:tcW w:w="2551"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40</w:t>
                  </w:r>
                </w:p>
              </w:tc>
              <w:tc>
                <w:tcPr>
                  <w:tcW w:w="3542" w:type="dxa"/>
                  <w:vMerge w:val="continue"/>
                  <w:tcBorders>
                    <w:top w:val="single" w:color="000000" w:sz="2" w:space="0"/>
                    <w:left w:val="single" w:color="000000" w:sz="2" w:space="0"/>
                    <w:bottom w:val="single" w:color="000000" w:sz="2" w:space="0"/>
                    <w:right w:val="nil"/>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Ex>
              <w:trPr>
                <w:trHeight w:val="340" w:hRule="atLeast"/>
                <w:jc w:val="center"/>
              </w:trPr>
              <w:tc>
                <w:tcPr>
                  <w:tcW w:w="2392" w:type="dxa"/>
                  <w:tcBorders>
                    <w:top w:val="single" w:color="000000" w:sz="2" w:space="0"/>
                    <w:left w:val="nil"/>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氨氮</w:t>
                  </w:r>
                </w:p>
              </w:tc>
              <w:tc>
                <w:tcPr>
                  <w:tcW w:w="2551"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30</w:t>
                  </w:r>
                </w:p>
              </w:tc>
              <w:tc>
                <w:tcPr>
                  <w:tcW w:w="3542" w:type="dxa"/>
                  <w:vMerge w:val="continue"/>
                  <w:tcBorders>
                    <w:top w:val="single" w:color="000000" w:sz="2" w:space="0"/>
                    <w:left w:val="single" w:color="000000" w:sz="2" w:space="0"/>
                    <w:bottom w:val="single" w:color="000000" w:sz="2" w:space="0"/>
                    <w:right w:val="nil"/>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Ex>
              <w:trPr>
                <w:trHeight w:val="340" w:hRule="atLeast"/>
                <w:jc w:val="center"/>
              </w:trPr>
              <w:tc>
                <w:tcPr>
                  <w:tcW w:w="2392" w:type="dxa"/>
                  <w:tcBorders>
                    <w:top w:val="single" w:color="000000" w:sz="2" w:space="0"/>
                    <w:left w:val="nil"/>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总磷</w:t>
                  </w:r>
                </w:p>
              </w:tc>
              <w:tc>
                <w:tcPr>
                  <w:tcW w:w="2551"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2.0</w:t>
                  </w:r>
                </w:p>
              </w:tc>
              <w:tc>
                <w:tcPr>
                  <w:tcW w:w="3542" w:type="dxa"/>
                  <w:vMerge w:val="continue"/>
                  <w:tcBorders>
                    <w:top w:val="single" w:color="000000" w:sz="2" w:space="0"/>
                    <w:left w:val="single" w:color="000000" w:sz="2" w:space="0"/>
                    <w:bottom w:val="single" w:color="000000" w:sz="2" w:space="0"/>
                    <w:right w:val="nil"/>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Ex>
              <w:trPr>
                <w:trHeight w:val="340" w:hRule="atLeast"/>
                <w:jc w:val="center"/>
              </w:trPr>
              <w:tc>
                <w:tcPr>
                  <w:tcW w:w="2392" w:type="dxa"/>
                  <w:tcBorders>
                    <w:top w:val="single" w:color="000000" w:sz="2" w:space="0"/>
                    <w:left w:val="nil"/>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单位产品基准排水量</w:t>
                  </w:r>
                </w:p>
              </w:tc>
              <w:tc>
                <w:tcPr>
                  <w:tcW w:w="2551"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0.8m</w:t>
                  </w:r>
                  <w:r>
                    <w:rPr>
                      <w:rFonts w:ascii="Times New Roman" w:hAnsi="Times New Roman" w:cs="Times New Roman"/>
                      <w:bCs/>
                      <w:sz w:val="21"/>
                      <w:szCs w:val="21"/>
                      <w:vertAlign w:val="superscript"/>
                    </w:rPr>
                    <w:t>3</w:t>
                  </w:r>
                  <w:r>
                    <w:rPr>
                      <w:rFonts w:ascii="Times New Roman" w:hAnsi="Times New Roman" w:cs="Times New Roman"/>
                      <w:bCs/>
                      <w:sz w:val="21"/>
                      <w:szCs w:val="21"/>
                    </w:rPr>
                    <w:t>/万只</w:t>
                  </w:r>
                </w:p>
              </w:tc>
              <w:tc>
                <w:tcPr>
                  <w:tcW w:w="3542" w:type="dxa"/>
                  <w:vMerge w:val="continue"/>
                  <w:tcBorders>
                    <w:top w:val="single" w:color="000000" w:sz="2" w:space="0"/>
                    <w:left w:val="single" w:color="000000" w:sz="2" w:space="0"/>
                    <w:bottom w:val="single" w:color="000000" w:sz="2" w:space="0"/>
                    <w:right w:val="nil"/>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Ex>
              <w:trPr>
                <w:trHeight w:val="340" w:hRule="atLeast"/>
                <w:jc w:val="center"/>
              </w:trPr>
              <w:tc>
                <w:tcPr>
                  <w:tcW w:w="2392" w:type="dxa"/>
                  <w:tcBorders>
                    <w:top w:val="single" w:color="000000" w:sz="2" w:space="0"/>
                    <w:left w:val="nil"/>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色度</w:t>
                  </w:r>
                </w:p>
              </w:tc>
              <w:tc>
                <w:tcPr>
                  <w:tcW w:w="2551"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70</w:t>
                  </w:r>
                </w:p>
              </w:tc>
              <w:tc>
                <w:tcPr>
                  <w:tcW w:w="3542" w:type="dxa"/>
                  <w:tcBorders>
                    <w:top w:val="single" w:color="000000" w:sz="2" w:space="0"/>
                    <w:left w:val="single" w:color="000000" w:sz="2" w:space="0"/>
                    <w:bottom w:val="single" w:color="000000" w:sz="10" w:space="0"/>
                    <w:right w:val="nil"/>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《污水排入城镇下水道水质标准》</w:t>
                  </w:r>
                </w:p>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（CJ343-2010）表1中B等级标准</w:t>
                  </w:r>
                </w:p>
              </w:tc>
            </w:tr>
          </w:tbl>
          <w:p>
            <w:pPr>
              <w:pStyle w:val="5"/>
              <w:kinsoku w:val="0"/>
              <w:overflowPunct w:val="0"/>
              <w:spacing w:before="3"/>
              <w:ind w:firstLine="40"/>
              <w:rPr>
                <w:rFonts w:ascii="Times New Roman" w:hAnsi="Times New Roman" w:cs="Times New Roman"/>
                <w:b/>
                <w:bCs/>
                <w:sz w:val="2"/>
                <w:szCs w:val="2"/>
              </w:rPr>
            </w:pPr>
          </w:p>
          <w:p>
            <w:pPr>
              <w:snapToGrid w:val="0"/>
              <w:spacing w:line="440" w:lineRule="exact"/>
              <w:ind w:firstLine="0" w:firstLineChars="0"/>
              <w:jc w:val="center"/>
              <w:rPr>
                <w:rFonts w:ascii="Times New Roman" w:hAnsi="Times New Roman" w:eastAsia="黑体" w:cs="Times New Roman"/>
                <w:snapToGrid w:val="0"/>
                <w:kern w:val="0"/>
              </w:rPr>
            </w:pPr>
            <w:r>
              <w:rPr>
                <w:rFonts w:ascii="Times New Roman" w:hAnsi="Times New Roman" w:eastAsia="黑体" w:cs="Times New Roman"/>
                <w:snapToGrid w:val="0"/>
                <w:kern w:val="0"/>
              </w:rPr>
              <w:t>表16  六合区污水处理厂接管标准与排放标准</w:t>
            </w:r>
          </w:p>
          <w:tbl>
            <w:tblPr>
              <w:tblStyle w:val="11"/>
              <w:tblW w:w="8485" w:type="dxa"/>
              <w:jc w:val="center"/>
              <w:tblInd w:w="0" w:type="dxa"/>
              <w:tblLayout w:type="fixed"/>
              <w:tblCellMar>
                <w:top w:w="0" w:type="dxa"/>
                <w:left w:w="0" w:type="dxa"/>
                <w:bottom w:w="0" w:type="dxa"/>
                <w:right w:w="0" w:type="dxa"/>
              </w:tblCellMar>
            </w:tblPr>
            <w:tblGrid>
              <w:gridCol w:w="2321"/>
              <w:gridCol w:w="2624"/>
              <w:gridCol w:w="3540"/>
            </w:tblGrid>
            <w:tr>
              <w:tblPrEx>
                <w:tblLayout w:type="fixed"/>
                <w:tblCellMar>
                  <w:top w:w="0" w:type="dxa"/>
                  <w:left w:w="0" w:type="dxa"/>
                  <w:bottom w:w="0" w:type="dxa"/>
                  <w:right w:w="0" w:type="dxa"/>
                </w:tblCellMar>
              </w:tblPrEx>
              <w:trPr>
                <w:trHeight w:val="340" w:hRule="atLeast"/>
                <w:jc w:val="center"/>
              </w:trPr>
              <w:tc>
                <w:tcPr>
                  <w:tcW w:w="2321" w:type="dxa"/>
                  <w:tcBorders>
                    <w:top w:val="single" w:color="000000" w:sz="10" w:space="0"/>
                    <w:left w:val="nil"/>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24" w:type="dxa"/>
                  <w:tcBorders>
                    <w:top w:val="single" w:color="000000" w:sz="10"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接管标准（mg/L）</w:t>
                  </w:r>
                </w:p>
              </w:tc>
              <w:tc>
                <w:tcPr>
                  <w:tcW w:w="3540" w:type="dxa"/>
                  <w:tcBorders>
                    <w:top w:val="single" w:color="000000" w:sz="10" w:space="0"/>
                    <w:left w:val="single" w:color="000000" w:sz="2" w:space="0"/>
                    <w:bottom w:val="single" w:color="000000" w:sz="2" w:space="0"/>
                    <w:right w:val="nil"/>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排放标准（mg/L）</w:t>
                  </w:r>
                </w:p>
              </w:tc>
            </w:tr>
            <w:tr>
              <w:tblPrEx>
                <w:tblLayout w:type="fixed"/>
                <w:tblCellMar>
                  <w:top w:w="0" w:type="dxa"/>
                  <w:left w:w="0" w:type="dxa"/>
                  <w:bottom w:w="0" w:type="dxa"/>
                  <w:right w:w="0" w:type="dxa"/>
                </w:tblCellMar>
              </w:tblPrEx>
              <w:trPr>
                <w:trHeight w:val="340" w:hRule="atLeast"/>
                <w:jc w:val="center"/>
              </w:trPr>
              <w:tc>
                <w:tcPr>
                  <w:tcW w:w="2321" w:type="dxa"/>
                  <w:tcBorders>
                    <w:top w:val="single" w:color="000000" w:sz="2" w:space="0"/>
                    <w:left w:val="nil"/>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pH（无量纲）</w:t>
                  </w:r>
                </w:p>
              </w:tc>
              <w:tc>
                <w:tcPr>
                  <w:tcW w:w="2624"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6~9</w:t>
                  </w:r>
                </w:p>
              </w:tc>
              <w:tc>
                <w:tcPr>
                  <w:tcW w:w="3540" w:type="dxa"/>
                  <w:tcBorders>
                    <w:top w:val="single" w:color="000000" w:sz="2" w:space="0"/>
                    <w:left w:val="single" w:color="000000" w:sz="2" w:space="0"/>
                    <w:bottom w:val="single" w:color="000000" w:sz="2" w:space="0"/>
                    <w:right w:val="nil"/>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6~9</w:t>
                  </w:r>
                </w:p>
              </w:tc>
            </w:tr>
            <w:tr>
              <w:tblPrEx>
                <w:tblLayout w:type="fixed"/>
                <w:tblCellMar>
                  <w:top w:w="0" w:type="dxa"/>
                  <w:left w:w="0" w:type="dxa"/>
                  <w:bottom w:w="0" w:type="dxa"/>
                  <w:right w:w="0" w:type="dxa"/>
                </w:tblCellMar>
              </w:tblPrEx>
              <w:trPr>
                <w:trHeight w:val="340" w:hRule="atLeast"/>
                <w:jc w:val="center"/>
              </w:trPr>
              <w:tc>
                <w:tcPr>
                  <w:tcW w:w="2321" w:type="dxa"/>
                  <w:tcBorders>
                    <w:top w:val="single" w:color="000000" w:sz="2" w:space="0"/>
                    <w:left w:val="nil"/>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COD</w:t>
                  </w:r>
                </w:p>
              </w:tc>
              <w:tc>
                <w:tcPr>
                  <w:tcW w:w="2624"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500</w:t>
                  </w:r>
                </w:p>
              </w:tc>
              <w:tc>
                <w:tcPr>
                  <w:tcW w:w="3540" w:type="dxa"/>
                  <w:tcBorders>
                    <w:top w:val="single" w:color="000000" w:sz="2" w:space="0"/>
                    <w:left w:val="single" w:color="000000" w:sz="2" w:space="0"/>
                    <w:bottom w:val="single" w:color="000000" w:sz="2" w:space="0"/>
                    <w:right w:val="nil"/>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50</w:t>
                  </w:r>
                </w:p>
              </w:tc>
            </w:tr>
            <w:tr>
              <w:tblPrEx>
                <w:tblLayout w:type="fixed"/>
                <w:tblCellMar>
                  <w:top w:w="0" w:type="dxa"/>
                  <w:left w:w="0" w:type="dxa"/>
                  <w:bottom w:w="0" w:type="dxa"/>
                  <w:right w:w="0" w:type="dxa"/>
                </w:tblCellMar>
              </w:tblPrEx>
              <w:trPr>
                <w:trHeight w:val="340" w:hRule="atLeast"/>
                <w:jc w:val="center"/>
              </w:trPr>
              <w:tc>
                <w:tcPr>
                  <w:tcW w:w="2321" w:type="dxa"/>
                  <w:tcBorders>
                    <w:top w:val="single" w:color="000000" w:sz="2" w:space="0"/>
                    <w:left w:val="nil"/>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SS</w:t>
                  </w:r>
                </w:p>
              </w:tc>
              <w:tc>
                <w:tcPr>
                  <w:tcW w:w="2624"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400</w:t>
                  </w:r>
                </w:p>
              </w:tc>
              <w:tc>
                <w:tcPr>
                  <w:tcW w:w="3540" w:type="dxa"/>
                  <w:tcBorders>
                    <w:top w:val="single" w:color="000000" w:sz="2" w:space="0"/>
                    <w:left w:val="single" w:color="000000" w:sz="2" w:space="0"/>
                    <w:bottom w:val="single" w:color="000000" w:sz="2" w:space="0"/>
                    <w:right w:val="nil"/>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10</w:t>
                  </w:r>
                </w:p>
              </w:tc>
            </w:tr>
            <w:tr>
              <w:tblPrEx>
                <w:tblLayout w:type="fixed"/>
                <w:tblCellMar>
                  <w:top w:w="0" w:type="dxa"/>
                  <w:left w:w="0" w:type="dxa"/>
                  <w:bottom w:w="0" w:type="dxa"/>
                  <w:right w:w="0" w:type="dxa"/>
                </w:tblCellMar>
              </w:tblPrEx>
              <w:trPr>
                <w:trHeight w:val="340" w:hRule="atLeast"/>
                <w:jc w:val="center"/>
              </w:trPr>
              <w:tc>
                <w:tcPr>
                  <w:tcW w:w="2321" w:type="dxa"/>
                  <w:tcBorders>
                    <w:top w:val="single" w:color="000000" w:sz="2" w:space="0"/>
                    <w:left w:val="nil"/>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氨氮</w:t>
                  </w:r>
                </w:p>
              </w:tc>
              <w:tc>
                <w:tcPr>
                  <w:tcW w:w="2624"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45</w:t>
                  </w:r>
                </w:p>
              </w:tc>
              <w:tc>
                <w:tcPr>
                  <w:tcW w:w="3540" w:type="dxa"/>
                  <w:tcBorders>
                    <w:top w:val="single" w:color="000000" w:sz="2" w:space="0"/>
                    <w:left w:val="single" w:color="000000" w:sz="2" w:space="0"/>
                    <w:bottom w:val="single" w:color="000000" w:sz="2" w:space="0"/>
                    <w:right w:val="nil"/>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5</w:t>
                  </w:r>
                </w:p>
              </w:tc>
            </w:tr>
            <w:tr>
              <w:tblPrEx>
                <w:tblLayout w:type="fixed"/>
                <w:tblCellMar>
                  <w:top w:w="0" w:type="dxa"/>
                  <w:left w:w="0" w:type="dxa"/>
                  <w:bottom w:w="0" w:type="dxa"/>
                  <w:right w:w="0" w:type="dxa"/>
                </w:tblCellMar>
              </w:tblPrEx>
              <w:trPr>
                <w:trHeight w:val="340" w:hRule="atLeast"/>
                <w:jc w:val="center"/>
              </w:trPr>
              <w:tc>
                <w:tcPr>
                  <w:tcW w:w="2321" w:type="dxa"/>
                  <w:tcBorders>
                    <w:top w:val="single" w:color="000000" w:sz="2" w:space="0"/>
                    <w:left w:val="nil"/>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总磷</w:t>
                  </w:r>
                </w:p>
              </w:tc>
              <w:tc>
                <w:tcPr>
                  <w:tcW w:w="2624"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8</w:t>
                  </w:r>
                </w:p>
              </w:tc>
              <w:tc>
                <w:tcPr>
                  <w:tcW w:w="3540" w:type="dxa"/>
                  <w:tcBorders>
                    <w:top w:val="single" w:color="000000" w:sz="2" w:space="0"/>
                    <w:left w:val="single" w:color="000000" w:sz="2" w:space="0"/>
                    <w:bottom w:val="single" w:color="000000" w:sz="2" w:space="0"/>
                    <w:right w:val="nil"/>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0.5</w:t>
                  </w:r>
                </w:p>
              </w:tc>
            </w:tr>
            <w:tr>
              <w:tblPrEx>
                <w:tblLayout w:type="fixed"/>
                <w:tblCellMar>
                  <w:top w:w="0" w:type="dxa"/>
                  <w:left w:w="0" w:type="dxa"/>
                  <w:bottom w:w="0" w:type="dxa"/>
                  <w:right w:w="0" w:type="dxa"/>
                </w:tblCellMar>
              </w:tblPrEx>
              <w:trPr>
                <w:trHeight w:val="340" w:hRule="atLeast"/>
                <w:jc w:val="center"/>
              </w:trPr>
              <w:tc>
                <w:tcPr>
                  <w:tcW w:w="2321" w:type="dxa"/>
                  <w:tcBorders>
                    <w:top w:val="single" w:color="000000" w:sz="2" w:space="0"/>
                    <w:left w:val="nil"/>
                    <w:bottom w:val="single" w:color="000000" w:sz="10"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动植物油</w:t>
                  </w:r>
                </w:p>
              </w:tc>
              <w:tc>
                <w:tcPr>
                  <w:tcW w:w="2624" w:type="dxa"/>
                  <w:tcBorders>
                    <w:top w:val="single" w:color="000000" w:sz="2" w:space="0"/>
                    <w:left w:val="single" w:color="000000" w:sz="2" w:space="0"/>
                    <w:bottom w:val="single" w:color="000000" w:sz="10"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100</w:t>
                  </w:r>
                </w:p>
              </w:tc>
              <w:tc>
                <w:tcPr>
                  <w:tcW w:w="3540" w:type="dxa"/>
                  <w:tcBorders>
                    <w:top w:val="single" w:color="000000" w:sz="2" w:space="0"/>
                    <w:left w:val="single" w:color="000000" w:sz="2" w:space="0"/>
                    <w:bottom w:val="single" w:color="000000" w:sz="10" w:space="0"/>
                    <w:right w:val="nil"/>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1</w:t>
                  </w:r>
                </w:p>
              </w:tc>
            </w:tr>
          </w:tbl>
          <w:p>
            <w:pPr>
              <w:pStyle w:val="16"/>
              <w:spacing w:line="440" w:lineRule="exact"/>
              <w:ind w:firstLine="482"/>
              <w:rPr>
                <w:rFonts w:ascii="Times New Roman" w:hAnsi="Times New Roman" w:cs="Times New Roman"/>
                <w:b w:val="0"/>
              </w:rPr>
            </w:pPr>
            <w:r>
              <w:rPr>
                <w:rFonts w:ascii="Times New Roman" w:hAnsi="Times New Roman" w:cs="Times New Roman"/>
                <w:b w:val="0"/>
              </w:rPr>
              <w:t>3、噪声排放标准</w:t>
            </w:r>
          </w:p>
          <w:p>
            <w:pPr>
              <w:adjustRightInd w:val="0"/>
              <w:snapToGrid w:val="0"/>
              <w:spacing w:line="440" w:lineRule="exact"/>
              <w:ind w:firstLine="480"/>
              <w:rPr>
                <w:rFonts w:ascii="Times New Roman" w:hAnsi="Times New Roman" w:cs="Times New Roman"/>
              </w:rPr>
            </w:pPr>
            <w:r>
              <w:rPr>
                <w:rFonts w:ascii="Times New Roman" w:hAnsi="Times New Roman" w:cs="Times New Roman"/>
              </w:rPr>
              <w:t>施工期执行《建筑施工场界环境噪声排放标准》（GB12523-2011）；营运期执行《工业企业厂界环境噪声排放标准》(GB 12348-2008)2类标准。噪声排放标准详见表17。</w:t>
            </w:r>
          </w:p>
          <w:p>
            <w:pPr>
              <w:snapToGrid w:val="0"/>
              <w:spacing w:line="440" w:lineRule="exact"/>
              <w:ind w:firstLine="0" w:firstLineChars="0"/>
              <w:jc w:val="center"/>
              <w:rPr>
                <w:rFonts w:ascii="Times New Roman" w:hAnsi="Times New Roman" w:eastAsia="黑体" w:cs="Times New Roman"/>
                <w:snapToGrid w:val="0"/>
                <w:kern w:val="0"/>
              </w:rPr>
            </w:pPr>
            <w:r>
              <w:rPr>
                <w:rFonts w:ascii="Times New Roman" w:hAnsi="Times New Roman" w:eastAsia="黑体" w:cs="Times New Roman"/>
                <w:snapToGrid w:val="0"/>
                <w:kern w:val="0"/>
              </w:rPr>
              <w:t>表17  噪声排放标准</w:t>
            </w:r>
          </w:p>
          <w:tbl>
            <w:tblPr>
              <w:tblStyle w:val="11"/>
              <w:tblW w:w="8485"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
            <w:tblGrid>
              <w:gridCol w:w="1267"/>
              <w:gridCol w:w="1268"/>
              <w:gridCol w:w="595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2535" w:type="dxa"/>
                  <w:gridSpan w:val="2"/>
                  <w:shd w:val="clear" w:color="auto" w:fill="auto"/>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标准限值（dB(A)）</w:t>
                  </w:r>
                </w:p>
              </w:tc>
              <w:tc>
                <w:tcPr>
                  <w:tcW w:w="5950" w:type="dxa"/>
                  <w:shd w:val="clear" w:color="auto" w:fill="auto"/>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执行标准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267" w:type="dxa"/>
                  <w:shd w:val="clear" w:color="auto" w:fill="auto"/>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昼间</w:t>
                  </w:r>
                </w:p>
              </w:tc>
              <w:tc>
                <w:tcPr>
                  <w:tcW w:w="1268" w:type="dxa"/>
                  <w:shd w:val="clear" w:color="auto" w:fill="auto"/>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夜间</w:t>
                  </w:r>
                </w:p>
              </w:tc>
              <w:tc>
                <w:tcPr>
                  <w:tcW w:w="5950" w:type="dxa"/>
                  <w:shd w:val="clear" w:color="auto" w:fill="auto"/>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267" w:type="dxa"/>
                  <w:shd w:val="clear" w:color="auto" w:fill="auto"/>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70</w:t>
                  </w:r>
                </w:p>
              </w:tc>
              <w:tc>
                <w:tcPr>
                  <w:tcW w:w="1268" w:type="dxa"/>
                  <w:shd w:val="clear" w:color="auto" w:fill="auto"/>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55</w:t>
                  </w:r>
                </w:p>
              </w:tc>
              <w:tc>
                <w:tcPr>
                  <w:tcW w:w="5950" w:type="dxa"/>
                  <w:shd w:val="clear" w:color="auto" w:fill="auto"/>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《建筑施工场界环境噪声排放标准》（GB12523-2011）</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267" w:type="dxa"/>
                  <w:shd w:val="clear" w:color="auto" w:fill="auto"/>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60</w:t>
                  </w:r>
                </w:p>
              </w:tc>
              <w:tc>
                <w:tcPr>
                  <w:tcW w:w="1268" w:type="dxa"/>
                  <w:shd w:val="clear" w:color="auto" w:fill="auto"/>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50</w:t>
                  </w:r>
                </w:p>
              </w:tc>
              <w:tc>
                <w:tcPr>
                  <w:tcW w:w="5950" w:type="dxa"/>
                  <w:shd w:val="clear" w:color="auto" w:fill="auto"/>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《工业企业厂界环境噪声排放标准》（GB12348-2008）2类标准</w:t>
                  </w:r>
                </w:p>
              </w:tc>
            </w:tr>
          </w:tbl>
          <w:p>
            <w:pPr>
              <w:snapToGrid w:val="0"/>
              <w:spacing w:line="440" w:lineRule="exact"/>
              <w:ind w:firstLine="480"/>
              <w:jc w:val="left"/>
              <w:rPr>
                <w:rFonts w:ascii="Times New Roman" w:hAnsi="Times New Roman" w:cs="Times New Roman"/>
              </w:rPr>
            </w:pPr>
            <w:r>
              <w:rPr>
                <w:rFonts w:ascii="Times New Roman" w:hAnsi="Times New Roman" w:cs="Times New Roman"/>
              </w:rPr>
              <w:t>4、固废标准</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《一般工业固体废物储存、处置场污染控制标准》（2013年修订）；</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《危险废物储存污染控制标准》（2013年修订）。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75" w:hRule="atLeast"/>
        </w:trPr>
        <w:tc>
          <w:tcPr>
            <w:tcW w:w="585" w:type="dxa"/>
            <w:tcMar>
              <w:top w:w="28" w:type="dxa"/>
              <w:left w:w="28" w:type="dxa"/>
              <w:bottom w:w="28" w:type="dxa"/>
              <w:right w:w="28" w:type="dxa"/>
            </w:tcMar>
            <w:vAlign w:val="center"/>
          </w:tcPr>
          <w:p>
            <w:pPr>
              <w:spacing w:before="60" w:beforeLines="25" w:after="60" w:afterLines="25" w:line="240" w:lineRule="auto"/>
              <w:ind w:firstLine="0" w:firstLineChars="0"/>
              <w:jc w:val="center"/>
              <w:rPr>
                <w:rFonts w:ascii="Times New Roman" w:hAnsi="Times New Roman" w:cs="Times New Roman"/>
                <w:b/>
              </w:rPr>
            </w:pPr>
            <w:r>
              <w:rPr>
                <w:rFonts w:ascii="Times New Roman" w:hAnsi="Times New Roman" w:cs="Times New Roman"/>
                <w:b/>
              </w:rPr>
              <w:t>总</w:t>
            </w:r>
          </w:p>
          <w:p>
            <w:pPr>
              <w:spacing w:before="60" w:beforeLines="25" w:after="60" w:afterLines="25" w:line="240" w:lineRule="auto"/>
              <w:ind w:firstLine="0" w:firstLineChars="0"/>
              <w:jc w:val="center"/>
              <w:rPr>
                <w:rFonts w:ascii="Times New Roman" w:hAnsi="Times New Roman" w:cs="Times New Roman"/>
                <w:b/>
              </w:rPr>
            </w:pPr>
            <w:r>
              <w:rPr>
                <w:rFonts w:ascii="Times New Roman" w:hAnsi="Times New Roman" w:cs="Times New Roman"/>
                <w:b/>
              </w:rPr>
              <w:t>量</w:t>
            </w:r>
          </w:p>
          <w:p>
            <w:pPr>
              <w:spacing w:before="60" w:beforeLines="25" w:after="60" w:afterLines="25" w:line="240" w:lineRule="auto"/>
              <w:ind w:firstLine="0" w:firstLineChars="0"/>
              <w:jc w:val="center"/>
              <w:rPr>
                <w:rFonts w:ascii="Times New Roman" w:hAnsi="Times New Roman" w:cs="Times New Roman"/>
                <w:b/>
              </w:rPr>
            </w:pPr>
            <w:r>
              <w:rPr>
                <w:rFonts w:ascii="Times New Roman" w:hAnsi="Times New Roman" w:cs="Times New Roman"/>
                <w:b/>
              </w:rPr>
              <w:t>控</w:t>
            </w:r>
          </w:p>
          <w:p>
            <w:pPr>
              <w:spacing w:before="60" w:beforeLines="25" w:after="60" w:afterLines="25" w:line="240" w:lineRule="auto"/>
              <w:ind w:firstLine="0" w:firstLineChars="0"/>
              <w:jc w:val="center"/>
              <w:rPr>
                <w:rFonts w:ascii="Times New Roman" w:hAnsi="Times New Roman" w:cs="Times New Roman"/>
                <w:b/>
              </w:rPr>
            </w:pPr>
            <w:r>
              <w:rPr>
                <w:rFonts w:ascii="Times New Roman" w:hAnsi="Times New Roman" w:cs="Times New Roman"/>
                <w:b/>
              </w:rPr>
              <w:t>制</w:t>
            </w:r>
          </w:p>
          <w:p>
            <w:pPr>
              <w:spacing w:before="60" w:beforeLines="25" w:after="60" w:afterLines="25" w:line="240" w:lineRule="auto"/>
              <w:ind w:firstLine="0" w:firstLineChars="0"/>
              <w:jc w:val="center"/>
              <w:rPr>
                <w:rFonts w:ascii="Times New Roman" w:hAnsi="Times New Roman" w:cs="Times New Roman"/>
                <w:b/>
              </w:rPr>
            </w:pPr>
            <w:r>
              <w:rPr>
                <w:rFonts w:ascii="Times New Roman" w:hAnsi="Times New Roman" w:cs="Times New Roman"/>
                <w:b/>
              </w:rPr>
              <w:t>指</w:t>
            </w:r>
          </w:p>
          <w:p>
            <w:pPr>
              <w:spacing w:before="60" w:beforeLines="25" w:after="60" w:afterLines="25" w:line="240" w:lineRule="auto"/>
              <w:ind w:firstLine="0" w:firstLineChars="0"/>
              <w:jc w:val="center"/>
              <w:rPr>
                <w:rFonts w:ascii="Times New Roman" w:hAnsi="Times New Roman" w:cs="Times New Roman"/>
                <w:b/>
              </w:rPr>
            </w:pPr>
            <w:r>
              <w:rPr>
                <w:rFonts w:ascii="Times New Roman" w:hAnsi="Times New Roman" w:cs="Times New Roman"/>
                <w:b/>
              </w:rPr>
              <w:t>标</w:t>
            </w:r>
          </w:p>
        </w:tc>
        <w:tc>
          <w:tcPr>
            <w:tcW w:w="8541" w:type="dxa"/>
            <w:tcMar>
              <w:top w:w="28" w:type="dxa"/>
              <w:left w:w="28" w:type="dxa"/>
              <w:bottom w:w="28" w:type="dxa"/>
              <w:right w:w="28" w:type="dxa"/>
            </w:tcMar>
            <w:vAlign w:val="center"/>
          </w:tcPr>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大气污染物申请总量指标：非甲烷总烃4.63t/a；颗粒物0.013t/a。</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废水接管量为15808t/a，COD</w:t>
            </w:r>
            <w:r>
              <w:rPr>
                <w:rFonts w:hint="eastAsia" w:ascii="Times New Roman" w:hAnsi="Times New Roman" w:cs="Times New Roman"/>
                <w:szCs w:val="24"/>
              </w:rPr>
              <w:t>5.252</w:t>
            </w:r>
            <w:r>
              <w:rPr>
                <w:rFonts w:ascii="Times New Roman" w:hAnsi="Times New Roman" w:cs="Times New Roman"/>
                <w:szCs w:val="24"/>
              </w:rPr>
              <w:t>t/a，</w:t>
            </w:r>
            <w:r>
              <w:rPr>
                <w:rFonts w:ascii="Times New Roman" w:hAnsi="Times New Roman" w:cs="Times New Roman"/>
                <w:position w:val="2"/>
                <w:szCs w:val="21"/>
              </w:rPr>
              <w:t>NH</w:t>
            </w:r>
            <w:r>
              <w:rPr>
                <w:rFonts w:ascii="Times New Roman" w:hAnsi="Times New Roman" w:cs="Times New Roman"/>
                <w:sz w:val="13"/>
                <w:szCs w:val="13"/>
              </w:rPr>
              <w:t>3</w:t>
            </w:r>
            <w:r>
              <w:rPr>
                <w:rFonts w:ascii="Times New Roman" w:hAnsi="Times New Roman" w:cs="Times New Roman"/>
                <w:position w:val="2"/>
                <w:szCs w:val="21"/>
              </w:rPr>
              <w:t>-N</w:t>
            </w:r>
            <w:r>
              <w:rPr>
                <w:rFonts w:ascii="Times New Roman" w:hAnsi="Times New Roman" w:cs="Times New Roman"/>
                <w:szCs w:val="24"/>
              </w:rPr>
              <w:t>0.38t/a。</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本项目废水申请总量为COD0.79t，</w:t>
            </w:r>
            <w:r>
              <w:rPr>
                <w:rFonts w:ascii="Times New Roman" w:hAnsi="Times New Roman" w:cs="Times New Roman"/>
                <w:position w:val="2"/>
                <w:szCs w:val="21"/>
              </w:rPr>
              <w:t>NH</w:t>
            </w:r>
            <w:r>
              <w:rPr>
                <w:rFonts w:ascii="Times New Roman" w:hAnsi="Times New Roman" w:cs="Times New Roman"/>
                <w:sz w:val="13"/>
                <w:szCs w:val="13"/>
              </w:rPr>
              <w:t>3</w:t>
            </w:r>
            <w:r>
              <w:rPr>
                <w:rFonts w:ascii="Times New Roman" w:hAnsi="Times New Roman" w:cs="Times New Roman"/>
                <w:position w:val="2"/>
                <w:szCs w:val="21"/>
              </w:rPr>
              <w:t>-N0.126t</w:t>
            </w:r>
            <w:r>
              <w:rPr>
                <w:rFonts w:ascii="Times New Roman" w:hAnsi="Times New Roman" w:cs="Times New Roman"/>
                <w:szCs w:val="24"/>
              </w:rPr>
              <w:t>。</w:t>
            </w:r>
          </w:p>
          <w:p>
            <w:pPr>
              <w:autoSpaceDE w:val="0"/>
              <w:autoSpaceDN w:val="0"/>
              <w:adjustRightInd w:val="0"/>
              <w:spacing w:line="440" w:lineRule="exact"/>
              <w:ind w:firstLine="480"/>
              <w:rPr>
                <w:rFonts w:ascii="Times New Roman" w:hAnsi="Times New Roman" w:cs="Times New Roman"/>
              </w:rPr>
            </w:pPr>
            <w:r>
              <w:rPr>
                <w:rFonts w:ascii="Times New Roman" w:hAnsi="Times New Roman" w:cs="Times New Roman"/>
                <w:szCs w:val="24"/>
              </w:rPr>
              <w:t>本项目固体废弃物均不外排，无需申请总量。</w:t>
            </w:r>
          </w:p>
        </w:tc>
      </w:tr>
    </w:tbl>
    <w:p>
      <w:pPr>
        <w:pStyle w:val="2"/>
        <w:jc w:val="left"/>
        <w:rPr>
          <w:rFonts w:ascii="Times New Roman" w:hAnsi="Times New Roman" w:cs="Times New Roman"/>
        </w:rPr>
      </w:pPr>
      <w:r>
        <w:rPr>
          <w:rFonts w:ascii="Times New Roman" w:hAnsi="Times New Roman" w:cs="Times New Roman"/>
        </w:rPr>
        <w:t>建设项目工程分析</w:t>
      </w:r>
    </w:p>
    <w:tbl>
      <w:tblPr>
        <w:tblStyle w:val="11"/>
        <w:tblW w:w="9177" w:type="dxa"/>
        <w:jc w:val="center"/>
        <w:tblInd w:w="5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161" w:hRule="atLeast"/>
          <w:jc w:val="center"/>
        </w:trPr>
        <w:tc>
          <w:tcPr>
            <w:tcW w:w="9177" w:type="dxa"/>
          </w:tcPr>
          <w:p>
            <w:pPr>
              <w:spacing w:before="60" w:beforeLines="25" w:after="60" w:afterLines="25" w:line="240" w:lineRule="auto"/>
              <w:ind w:firstLine="0" w:firstLineChars="0"/>
              <w:rPr>
                <w:rFonts w:ascii="Times New Roman" w:hAnsi="Times New Roman" w:cs="Times New Roman"/>
                <w:b/>
              </w:rPr>
            </w:pPr>
            <w:bookmarkStart w:id="1" w:name="_Toc303666153"/>
            <w:r>
              <w:rPr>
                <w:rFonts w:ascii="Times New Roman" w:hAnsi="Times New Roman" w:cs="Times New Roman"/>
                <w:b/>
              </w:rPr>
              <w:t>工艺流程</w:t>
            </w:r>
            <w:bookmarkEnd w:id="1"/>
            <w:r>
              <w:rPr>
                <w:rFonts w:ascii="Times New Roman" w:hAnsi="Times New Roman" w:cs="Times New Roman"/>
                <w:b/>
              </w:rPr>
              <w:t>及产污环节：</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1、施工期</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施工期工艺流程以及各流程产生的污染物如图1。</w:t>
            </w:r>
          </w:p>
          <w:p>
            <w:pPr>
              <w:widowControl/>
              <w:spacing w:line="240" w:lineRule="auto"/>
              <w:ind w:firstLine="0" w:firstLineChars="0"/>
              <w:jc w:val="center"/>
              <w:rPr>
                <w:rFonts w:ascii="Times New Roman" w:hAnsi="Times New Roman" w:cs="Times New Roman"/>
                <w:kern w:val="0"/>
                <w:szCs w:val="24"/>
              </w:rPr>
            </w:pPr>
            <w:r>
              <w:rPr>
                <w:rFonts w:ascii="Times New Roman" w:hAnsi="Times New Roman" w:cs="Times New Roman"/>
                <w:kern w:val="0"/>
                <w:szCs w:val="24"/>
              </w:rPr>
              <w:drawing>
                <wp:inline distT="0" distB="0" distL="114300" distR="114300">
                  <wp:extent cx="4268470" cy="2863850"/>
                  <wp:effectExtent l="0" t="0" r="17780" b="12700"/>
                  <wp:docPr id="36" name="图片 1" descr="BVLHNJV0[ZI~NHN$RU7[$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 descr="BVLHNJV0[ZI~NHN$RU7[$7D"/>
                          <pic:cNvPicPr>
                            <a:picLocks noChangeAspect="1"/>
                          </pic:cNvPicPr>
                        </pic:nvPicPr>
                        <pic:blipFill>
                          <a:blip r:embed="rId13"/>
                          <a:srcRect l="7193" r="5493"/>
                          <a:stretch>
                            <a:fillRect/>
                          </a:stretch>
                        </pic:blipFill>
                        <pic:spPr>
                          <a:xfrm>
                            <a:off x="0" y="0"/>
                            <a:ext cx="4268470" cy="2863850"/>
                          </a:xfrm>
                          <a:prstGeom prst="rect">
                            <a:avLst/>
                          </a:prstGeom>
                          <a:noFill/>
                          <a:ln w="9525">
                            <a:noFill/>
                          </a:ln>
                        </pic:spPr>
                      </pic:pic>
                    </a:graphicData>
                  </a:graphic>
                </wp:inline>
              </w:drawing>
            </w:r>
          </w:p>
          <w:p>
            <w:pPr>
              <w:snapToGrid w:val="0"/>
              <w:spacing w:line="440" w:lineRule="exact"/>
              <w:ind w:firstLine="0" w:firstLineChars="0"/>
              <w:jc w:val="center"/>
              <w:rPr>
                <w:rFonts w:ascii="Times New Roman" w:hAnsi="Times New Roman" w:eastAsia="黑体" w:cs="Times New Roman"/>
                <w:snapToGrid w:val="0"/>
                <w:kern w:val="0"/>
              </w:rPr>
            </w:pPr>
            <w:r>
              <w:rPr>
                <w:rFonts w:ascii="Times New Roman" w:hAnsi="Times New Roman" w:eastAsia="黑体" w:cs="Times New Roman"/>
                <w:snapToGrid w:val="0"/>
                <w:kern w:val="0"/>
              </w:rPr>
              <w:t>图1  施工期流程及产污环节</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（1）基础工程施工</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包括土方（挖方、填方）、地基处理（岩土工程）与基础施工等。基础工程挖土方量大于回填土方量时，有弃土产生，作业时主要产生噪声、扬尘。</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 xml:space="preserve">（2）主体工程及附属工程施工 </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施工期间，混凝土输送泵、混凝土振捣棒、卷扬机等施工机械产生噪声；在挖土、堆场和运输过程中产生扬尘。</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（3）装饰工程施工</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在对建筑物的室内外进行装修时，钻机、电锤、切割机等产生噪声、粉尘，油漆和涂料喷涂、装饰材料等产生废气，装修废料、废渣及少量洗涤污水。</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施工期污染物产生情况：</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（1）废气</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在施工阶段，基础开挖、车辆运行、建筑材料装卸与堆放等将产生扬尘。</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（2）废水</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各种施工设备清洗产生的清洗废水，含有泥砂与一定量的油污。</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施工人员冲厕水等，主要污染物为COD、TP和SS，废水产生量按50L/人•d，施工人员约40人，污水量2.0m</w:t>
            </w:r>
            <w:r>
              <w:rPr>
                <w:rFonts w:ascii="Times New Roman" w:hAnsi="Times New Roman" w:cs="Times New Roman"/>
                <w:szCs w:val="24"/>
                <w:vertAlign w:val="superscript"/>
              </w:rPr>
              <w:t>3</w:t>
            </w:r>
            <w:r>
              <w:rPr>
                <w:rFonts w:ascii="Times New Roman" w:hAnsi="Times New Roman" w:cs="Times New Roman"/>
                <w:szCs w:val="24"/>
              </w:rPr>
              <w:t>/d。</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 xml:space="preserve">（3）固体废物 </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施工期间产生的固体废物主要有建筑垃圾和生活垃圾。</w:t>
            </w:r>
          </w:p>
          <w:p>
            <w:pPr>
              <w:adjustRightInd w:val="0"/>
              <w:snapToGrid w:val="0"/>
              <w:spacing w:line="440" w:lineRule="exact"/>
              <w:ind w:firstLine="480"/>
              <w:jc w:val="left"/>
              <w:rPr>
                <w:rFonts w:ascii="Times New Roman" w:hAnsi="Times New Roman" w:cs="Times New Roman"/>
                <w:szCs w:val="24"/>
              </w:rPr>
            </w:pPr>
            <w:bookmarkStart w:id="2" w:name="bookmark70"/>
            <w:bookmarkEnd w:id="2"/>
            <w:r>
              <w:rPr>
                <w:rFonts w:ascii="Times New Roman" w:hAnsi="Times New Roman" w:cs="Times New Roman"/>
                <w:szCs w:val="24"/>
              </w:rPr>
              <w:t>建筑垃圾：施工期</w:t>
            </w:r>
            <w:r>
              <w:rPr>
                <w:rFonts w:ascii="Times New Roman" w:hAnsi="Times New Roman" w:cs="Times New Roman"/>
              </w:rPr>
              <w:t>产生的建筑垃圾预计5t</w:t>
            </w:r>
            <w:r>
              <w:rPr>
                <w:rFonts w:ascii="Times New Roman" w:hAnsi="Times New Roman" w:cs="Times New Roman"/>
                <w:szCs w:val="24"/>
              </w:rPr>
              <w:t>。</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生活垃圾：施工人员及工地管理人员约40人，生活垃圾按0.5kg/人·d计，产生量约为20kg/d。</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 xml:space="preserve">（4）噪声 </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噪声主要来源于各种施工机械设备和运输车辆噪声。</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2、运营期</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（1）电芯制造生产工艺流程及产污环节</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电芯生产工艺及产污情况见图2。</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fldChar w:fldCharType="begin"/>
            </w:r>
            <w:r>
              <w:rPr>
                <w:rFonts w:ascii="Times New Roman" w:hAnsi="Times New Roman" w:cs="Times New Roman"/>
                <w:szCs w:val="24"/>
              </w:rPr>
              <w:instrText xml:space="preserve"> = 1 \* GB3 </w:instrText>
            </w:r>
            <w:r>
              <w:rPr>
                <w:rFonts w:ascii="Times New Roman" w:hAnsi="Times New Roman" w:cs="Times New Roman"/>
                <w:szCs w:val="24"/>
              </w:rPr>
              <w:fldChar w:fldCharType="separate"/>
            </w:r>
            <w:r>
              <w:rPr>
                <w:rFonts w:hint="eastAsia" w:ascii="宋体" w:hAnsi="宋体" w:eastAsia="宋体" w:cs="宋体"/>
                <w:szCs w:val="24"/>
              </w:rPr>
              <w:t>①</w:t>
            </w:r>
            <w:r>
              <w:rPr>
                <w:rFonts w:ascii="Times New Roman" w:hAnsi="Times New Roman" w:cs="Times New Roman"/>
                <w:szCs w:val="24"/>
              </w:rPr>
              <w:fldChar w:fldCharType="end"/>
            </w:r>
            <w:r>
              <w:rPr>
                <w:rFonts w:ascii="Times New Roman" w:hAnsi="Times New Roman" w:cs="Times New Roman"/>
                <w:szCs w:val="24"/>
              </w:rPr>
              <w:t>原材料称量</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采用的正极材料为：镍钴锰酸锂、PVDF、导电碳黑、导电石墨。电池采用的负极材料相同，均为石墨、导电炭黑、CMC、SBR。物料为固定规格袋装，在厂区下料时进行校核性称量，无需拆包。</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fldChar w:fldCharType="begin"/>
            </w:r>
            <w:r>
              <w:rPr>
                <w:rFonts w:ascii="Times New Roman" w:hAnsi="Times New Roman" w:cs="Times New Roman"/>
                <w:szCs w:val="24"/>
              </w:rPr>
              <w:instrText xml:space="preserve"> = 2 \* GB3 </w:instrText>
            </w:r>
            <w:r>
              <w:rPr>
                <w:rFonts w:ascii="Times New Roman" w:hAnsi="Times New Roman" w:cs="Times New Roman"/>
                <w:szCs w:val="24"/>
              </w:rPr>
              <w:fldChar w:fldCharType="separate"/>
            </w:r>
            <w:r>
              <w:rPr>
                <w:rFonts w:hint="eastAsia" w:ascii="宋体" w:hAnsi="宋体" w:eastAsia="宋体" w:cs="宋体"/>
                <w:szCs w:val="24"/>
              </w:rPr>
              <w:t>②</w:t>
            </w:r>
            <w:r>
              <w:rPr>
                <w:rFonts w:ascii="Times New Roman" w:hAnsi="Times New Roman" w:cs="Times New Roman"/>
                <w:szCs w:val="24"/>
              </w:rPr>
              <w:fldChar w:fldCharType="end"/>
            </w:r>
            <w:r>
              <w:rPr>
                <w:rFonts w:ascii="Times New Roman" w:hAnsi="Times New Roman" w:cs="Times New Roman"/>
                <w:szCs w:val="24"/>
              </w:rPr>
              <w:t>投料</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拆包投料时，人工只需将不开袋的粉料放在自动运输履带上，物料通过履带进入拆包装置，拆包装置下方有离心机，使包装袋和粉料通过不同的管道，粉料落入下方锥形料仓，料仓与输送管道连接，在真空泵的作用下料仓内形成负压，粉料在管道内通过气体输送到合浆机内；包装袋则进入固废仓库。</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正极使用的溶剂NMP在厂区储存于NMP储罐中，通过管道泵入生产线设置的大储液罐中，使用时从储液罐中泵出，通过流量计计量后，加入每个合浆机中，之后将正极所需的粉料通过投入拆包装置的加料仓，然后通过真空上料系统加入到每个合浆机中。</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负极使用的纯水直接通过纯水箱泵入合浆机中，之后将负极所需的粉料通过投入拆包装置的加料仓，然后通过真空上料加入到每个合浆机中。真空负压泵排出的气体中含有少量粉尘物料，将形成粉尘废气（G1）。</w:t>
            </w:r>
          </w:p>
          <w:p>
            <w:pPr>
              <w:adjustRightInd w:val="0"/>
              <w:snapToGrid w:val="0"/>
              <w:spacing w:line="440" w:lineRule="exact"/>
              <w:ind w:firstLine="480"/>
              <w:jc w:val="left"/>
              <w:rPr>
                <w:rFonts w:ascii="Times New Roman" w:hAnsi="Times New Roman" w:cs="Times New Roman"/>
                <w:szCs w:val="24"/>
              </w:rPr>
            </w:pPr>
          </w:p>
          <w:p>
            <w:pPr>
              <w:adjustRightInd w:val="0"/>
              <w:snapToGrid w:val="0"/>
              <w:spacing w:line="440" w:lineRule="exact"/>
              <w:ind w:firstLine="480"/>
              <w:jc w:val="left"/>
              <w:rPr>
                <w:rFonts w:ascii="Times New Roman" w:hAnsi="Times New Roman" w:cs="Times New Roman"/>
                <w:szCs w:val="24"/>
              </w:rPr>
            </w:pPr>
          </w:p>
          <w:p>
            <w:pPr>
              <w:widowControl/>
              <w:spacing w:line="240" w:lineRule="auto"/>
              <w:ind w:firstLine="0" w:firstLineChars="0"/>
              <w:jc w:val="left"/>
              <w:rPr>
                <w:rFonts w:ascii="Times New Roman" w:hAnsi="Times New Roman" w:cs="Times New Roman"/>
                <w:kern w:val="0"/>
                <w:szCs w:val="24"/>
              </w:rPr>
            </w:pPr>
            <w:r>
              <w:rPr>
                <w:rFonts w:ascii="Times New Roman" w:hAnsi="Times New Roman" w:cs="Times New Roman"/>
                <w:kern w:val="0"/>
                <w:szCs w:val="24"/>
              </w:rPr>
              <mc:AlternateContent>
                <mc:Choice Requires="wps">
                  <w:drawing>
                    <wp:anchor distT="0" distB="0" distL="114300" distR="114300" simplePos="0" relativeHeight="251667456" behindDoc="0" locked="0" layoutInCell="1" allowOverlap="1">
                      <wp:simplePos x="0" y="0"/>
                      <wp:positionH relativeFrom="column">
                        <wp:posOffset>3056255</wp:posOffset>
                      </wp:positionH>
                      <wp:positionV relativeFrom="paragraph">
                        <wp:posOffset>7207250</wp:posOffset>
                      </wp:positionV>
                      <wp:extent cx="462280" cy="4445"/>
                      <wp:effectExtent l="0" t="37465" r="13970" b="34290"/>
                      <wp:wrapNone/>
                      <wp:docPr id="34" name="自选图形 3"/>
                      <wp:cNvGraphicFramePr/>
                      <a:graphic xmlns:a="http://schemas.openxmlformats.org/drawingml/2006/main">
                        <a:graphicData uri="http://schemas.microsoft.com/office/word/2010/wordprocessingShape">
                          <wps:wsp>
                            <wps:cNvCnPr/>
                            <wps:spPr>
                              <a:xfrm flipV="1">
                                <a:off x="0" y="0"/>
                                <a:ext cx="462280" cy="44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 o:spid="_x0000_s1026" o:spt="32" type="#_x0000_t32" style="position:absolute;left:0pt;flip:y;margin-left:240.65pt;margin-top:567.5pt;height:0.35pt;width:36.4pt;z-index:251667456;mso-width-relative:page;mso-height-relative:page;" filled="f" stroked="t" coordsize="21600,21600" o:gfxdata="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RvvpNoAAAANAQAADwAAAAAAAAABACAAAAAiAAAAZHJzL2Rvd25yZXYueG1sUEsBAhQAFAAAAAgA&#10;h07iQBrtdLHqAQAApgMAAA4AAAAAAAAAAQAgAAAAKQEAAGRycy9lMm9Eb2MueG1sUEsFBgAAAAAG&#10;AAYAWQEAAIUFAAAAAA==&#10;">
                      <v:fill on="f" focussize="0,0"/>
                      <v:stroke color="#000000" joinstyle="round" endarrow="block"/>
                      <v:imagedata o:title=""/>
                      <o:lock v:ext="edit" aspectratio="f"/>
                    </v:shape>
                  </w:pict>
                </mc:Fallback>
              </mc:AlternateContent>
            </w:r>
            <w:r>
              <w:rPr>
                <w:rFonts w:ascii="Times New Roman" w:hAnsi="Times New Roman" w:cs="Times New Roman"/>
                <w:kern w:val="0"/>
                <w:szCs w:val="24"/>
              </w:rPr>
              <w:fldChar w:fldCharType="begin"/>
            </w:r>
            <w:r>
              <w:rPr>
                <w:rFonts w:ascii="Times New Roman" w:hAnsi="Times New Roman" w:cs="Times New Roman"/>
                <w:kern w:val="0"/>
                <w:szCs w:val="24"/>
              </w:rPr>
              <w:instrText xml:space="preserve"> INCLUDEPICTURE "C:\\Users\\Administrator\\AppData\\Roaming\\Tencent\\QQ\\Temp\\6EA977CC29A74D5FB02607ADAD07BC51.png" \* MERGEFORMATINET </w:instrText>
            </w:r>
            <w:r>
              <w:rPr>
                <w:rFonts w:ascii="Times New Roman" w:hAnsi="Times New Roman" w:cs="Times New Roman"/>
                <w:kern w:val="0"/>
                <w:szCs w:val="24"/>
              </w:rPr>
              <w:fldChar w:fldCharType="separate"/>
            </w:r>
            <w:r>
              <w:rPr>
                <w:rFonts w:ascii="Times New Roman" w:hAnsi="Times New Roman" w:cs="Times New Roman"/>
                <w:kern w:val="0"/>
                <w:szCs w:val="24"/>
              </w:rPr>
              <w:drawing>
                <wp:inline distT="0" distB="0" distL="114300" distR="114300">
                  <wp:extent cx="5401310" cy="8572500"/>
                  <wp:effectExtent l="0" t="0" r="8890" b="0"/>
                  <wp:docPr id="35" name="图片 2" descr="6EA977CC29A74D5FB02607ADAD07BC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 descr="6EA977CC29A74D5FB02607ADAD07BC51"/>
                          <pic:cNvPicPr>
                            <a:picLocks noChangeAspect="1"/>
                          </pic:cNvPicPr>
                        </pic:nvPicPr>
                        <pic:blipFill>
                          <a:blip r:embed="rId14"/>
                          <a:stretch>
                            <a:fillRect/>
                          </a:stretch>
                        </pic:blipFill>
                        <pic:spPr>
                          <a:xfrm>
                            <a:off x="0" y="0"/>
                            <a:ext cx="5401310" cy="8572500"/>
                          </a:xfrm>
                          <a:prstGeom prst="rect">
                            <a:avLst/>
                          </a:prstGeom>
                          <a:noFill/>
                          <a:ln w="9525">
                            <a:noFill/>
                          </a:ln>
                        </pic:spPr>
                      </pic:pic>
                    </a:graphicData>
                  </a:graphic>
                </wp:inline>
              </w:drawing>
            </w:r>
            <w:r>
              <w:rPr>
                <w:rFonts w:ascii="Times New Roman" w:hAnsi="Times New Roman" w:cs="Times New Roman"/>
                <w:kern w:val="0"/>
                <w:szCs w:val="24"/>
              </w:rPr>
              <w:fldChar w:fldCharType="end"/>
            </w:r>
          </w:p>
          <w:p>
            <w:pPr>
              <w:widowControl/>
              <w:spacing w:line="240" w:lineRule="auto"/>
              <w:ind w:firstLine="0" w:firstLineChars="0"/>
              <w:jc w:val="center"/>
              <w:rPr>
                <w:rFonts w:ascii="Times New Roman" w:hAnsi="Times New Roman" w:cs="Times New Roman"/>
                <w:kern w:val="0"/>
                <w:szCs w:val="24"/>
              </w:rPr>
            </w:pPr>
            <w:r>
              <w:rPr>
                <w:rFonts w:ascii="Times New Roman" w:hAnsi="Times New Roman" w:cs="Times New Roman"/>
                <w:kern w:val="0"/>
                <w:szCs w:val="24"/>
              </w:rPr>
              <w:fldChar w:fldCharType="begin"/>
            </w:r>
            <w:r>
              <w:rPr>
                <w:rFonts w:ascii="Times New Roman" w:hAnsi="Times New Roman" w:cs="Times New Roman"/>
                <w:kern w:val="0"/>
                <w:szCs w:val="24"/>
              </w:rPr>
              <w:instrText xml:space="preserve"> INCLUDEPICTURE "C:\\Users\\Administrator\\AppData\\Roaming\\Tencent\\QQ\\Temp\\6AA51A9444EC467AB82F226EE572653A.png" \* MERGEFORMATINET </w:instrText>
            </w:r>
            <w:r>
              <w:rPr>
                <w:rFonts w:ascii="Times New Roman" w:hAnsi="Times New Roman" w:cs="Times New Roman"/>
                <w:kern w:val="0"/>
                <w:szCs w:val="24"/>
              </w:rPr>
              <w:fldChar w:fldCharType="separate"/>
            </w:r>
            <w:r>
              <w:rPr>
                <w:rFonts w:ascii="Times New Roman" w:hAnsi="Times New Roman" w:cs="Times New Roman"/>
                <w:kern w:val="0"/>
                <w:szCs w:val="24"/>
              </w:rPr>
              <w:drawing>
                <wp:inline distT="0" distB="0" distL="114300" distR="114300">
                  <wp:extent cx="3028315" cy="4685665"/>
                  <wp:effectExtent l="0" t="0" r="635" b="635"/>
                  <wp:docPr id="33" name="图片 3" descr="6AA51A9444EC467AB82F226EE57265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 descr="6AA51A9444EC467AB82F226EE572653A"/>
                          <pic:cNvPicPr>
                            <a:picLocks noChangeAspect="1"/>
                          </pic:cNvPicPr>
                        </pic:nvPicPr>
                        <pic:blipFill>
                          <a:blip r:embed="rId15"/>
                          <a:stretch>
                            <a:fillRect/>
                          </a:stretch>
                        </pic:blipFill>
                        <pic:spPr>
                          <a:xfrm>
                            <a:off x="0" y="0"/>
                            <a:ext cx="3028315" cy="4685665"/>
                          </a:xfrm>
                          <a:prstGeom prst="rect">
                            <a:avLst/>
                          </a:prstGeom>
                          <a:noFill/>
                          <a:ln w="9525">
                            <a:noFill/>
                          </a:ln>
                        </pic:spPr>
                      </pic:pic>
                    </a:graphicData>
                  </a:graphic>
                </wp:inline>
              </w:drawing>
            </w:r>
            <w:r>
              <w:rPr>
                <w:rFonts w:ascii="Times New Roman" w:hAnsi="Times New Roman" w:cs="Times New Roman"/>
                <w:kern w:val="0"/>
                <w:szCs w:val="24"/>
              </w:rPr>
              <w:fldChar w:fldCharType="end"/>
            </w:r>
          </w:p>
          <w:p>
            <w:pPr>
              <w:tabs>
                <w:tab w:val="left" w:pos="2430"/>
              </w:tabs>
              <w:adjustRightInd w:val="0"/>
              <w:snapToGrid w:val="0"/>
              <w:spacing w:line="440" w:lineRule="exact"/>
              <w:ind w:firstLine="0" w:firstLineChars="0"/>
              <w:jc w:val="center"/>
              <w:rPr>
                <w:rFonts w:ascii="Times New Roman" w:hAnsi="Times New Roman" w:eastAsia="黑体" w:cs="Times New Roman"/>
                <w:szCs w:val="24"/>
              </w:rPr>
            </w:pPr>
            <w:r>
              <w:rPr>
                <w:rFonts w:ascii="Times New Roman" w:hAnsi="Times New Roman" w:eastAsia="黑体" w:cs="Times New Roman"/>
                <w:szCs w:val="24"/>
              </w:rPr>
              <w:t>图2  电芯生产工艺流程及产污环节</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fldChar w:fldCharType="begin"/>
            </w:r>
            <w:r>
              <w:rPr>
                <w:rFonts w:ascii="Times New Roman" w:hAnsi="Times New Roman" w:cs="Times New Roman"/>
                <w:szCs w:val="24"/>
              </w:rPr>
              <w:instrText xml:space="preserve"> = 3 \* GB3 </w:instrText>
            </w:r>
            <w:r>
              <w:rPr>
                <w:rFonts w:ascii="Times New Roman" w:hAnsi="Times New Roman" w:cs="Times New Roman"/>
                <w:szCs w:val="24"/>
              </w:rPr>
              <w:fldChar w:fldCharType="separate"/>
            </w:r>
            <w:r>
              <w:rPr>
                <w:rFonts w:hint="eastAsia" w:ascii="宋体" w:hAnsi="宋体" w:eastAsia="宋体" w:cs="宋体"/>
                <w:szCs w:val="24"/>
              </w:rPr>
              <w:t>③</w:t>
            </w:r>
            <w:r>
              <w:rPr>
                <w:rFonts w:ascii="Times New Roman" w:hAnsi="Times New Roman" w:cs="Times New Roman"/>
                <w:szCs w:val="24"/>
              </w:rPr>
              <w:fldChar w:fldCharType="end"/>
            </w:r>
            <w:r>
              <w:rPr>
                <w:rFonts w:ascii="Times New Roman" w:hAnsi="Times New Roman" w:cs="Times New Roman"/>
                <w:szCs w:val="24"/>
              </w:rPr>
              <w:t>混料搅拌</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在合浆系统内通过搅拌装置、高速分散机对混合的浆料进行真空密闭搅拌，经高速搅拌均匀后制成浆状物质。混料真空泵将排出少量的NMP废气（G2）；浆料过筛时产生过筛残渣（S1）。</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fldChar w:fldCharType="begin"/>
            </w:r>
            <w:r>
              <w:rPr>
                <w:rFonts w:ascii="Times New Roman" w:hAnsi="Times New Roman" w:cs="Times New Roman"/>
                <w:szCs w:val="24"/>
              </w:rPr>
              <w:instrText xml:space="preserve"> = 4 \* GB3 </w:instrText>
            </w:r>
            <w:r>
              <w:rPr>
                <w:rFonts w:ascii="Times New Roman" w:hAnsi="Times New Roman" w:cs="Times New Roman"/>
                <w:szCs w:val="24"/>
              </w:rPr>
              <w:fldChar w:fldCharType="separate"/>
            </w:r>
            <w:r>
              <w:rPr>
                <w:rFonts w:hint="eastAsia" w:ascii="宋体" w:hAnsi="宋体" w:eastAsia="宋体" w:cs="宋体"/>
                <w:szCs w:val="24"/>
              </w:rPr>
              <w:t>④</w:t>
            </w:r>
            <w:r>
              <w:rPr>
                <w:rFonts w:ascii="Times New Roman" w:hAnsi="Times New Roman" w:cs="Times New Roman"/>
                <w:szCs w:val="24"/>
              </w:rPr>
              <w:fldChar w:fldCharType="end"/>
            </w:r>
            <w:r>
              <w:rPr>
                <w:rFonts w:ascii="Times New Roman" w:hAnsi="Times New Roman" w:cs="Times New Roman"/>
                <w:szCs w:val="24"/>
              </w:rPr>
              <w:t xml:space="preserve">涂布干燥 </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涂布后的湿基片送入涂布机自带的干燥道进行干燥，正极干燥温度120℃~140℃，负极干燥温度为120℃左右。正极片在涂布、干燥时浆料中的NMP将挥发形成NMP废气（G2）。</w:t>
            </w:r>
          </w:p>
          <w:p>
            <w:pPr>
              <w:adjustRightInd w:val="0"/>
              <w:snapToGrid w:val="0"/>
              <w:spacing w:line="440" w:lineRule="exact"/>
              <w:ind w:firstLine="480" w:firstLineChars="0"/>
              <w:jc w:val="left"/>
              <w:rPr>
                <w:rFonts w:ascii="Times New Roman" w:hAnsi="Times New Roman" w:cs="Times New Roman"/>
                <w:szCs w:val="24"/>
              </w:rPr>
            </w:pPr>
            <w:r>
              <w:rPr>
                <w:rFonts w:ascii="Times New Roman" w:hAnsi="Times New Roman" w:cs="Times New Roman"/>
                <w:szCs w:val="24"/>
              </w:rPr>
              <w:fldChar w:fldCharType="begin"/>
            </w:r>
            <w:r>
              <w:rPr>
                <w:rFonts w:ascii="Times New Roman" w:hAnsi="Times New Roman" w:cs="Times New Roman"/>
                <w:szCs w:val="24"/>
              </w:rPr>
              <w:instrText xml:space="preserve"> = 5 \* GB3 </w:instrText>
            </w:r>
            <w:r>
              <w:rPr>
                <w:rFonts w:ascii="Times New Roman" w:hAnsi="Times New Roman" w:cs="Times New Roman"/>
                <w:szCs w:val="24"/>
              </w:rPr>
              <w:fldChar w:fldCharType="separate"/>
            </w:r>
            <w:r>
              <w:rPr>
                <w:rFonts w:hint="eastAsia" w:ascii="宋体" w:hAnsi="宋体" w:eastAsia="宋体" w:cs="宋体"/>
                <w:szCs w:val="24"/>
              </w:rPr>
              <w:t>⑤</w:t>
            </w:r>
            <w:r>
              <w:rPr>
                <w:rFonts w:ascii="Times New Roman" w:hAnsi="Times New Roman" w:cs="Times New Roman"/>
                <w:szCs w:val="24"/>
              </w:rPr>
              <w:fldChar w:fldCharType="end"/>
            </w:r>
            <w:r>
              <w:rPr>
                <w:rFonts w:ascii="Times New Roman" w:hAnsi="Times New Roman" w:cs="Times New Roman"/>
                <w:szCs w:val="24"/>
              </w:rPr>
              <w:t xml:space="preserve">极片辊压分切 </w:t>
            </w:r>
          </w:p>
          <w:p>
            <w:pPr>
              <w:adjustRightInd w:val="0"/>
              <w:snapToGrid w:val="0"/>
              <w:spacing w:line="440" w:lineRule="exact"/>
              <w:ind w:firstLine="480" w:firstLineChars="0"/>
              <w:jc w:val="left"/>
              <w:rPr>
                <w:rFonts w:ascii="Times New Roman" w:hAnsi="Times New Roman" w:cs="Times New Roman"/>
                <w:szCs w:val="24"/>
              </w:rPr>
            </w:pPr>
            <w:r>
              <w:rPr>
                <w:rFonts w:ascii="Times New Roman" w:hAnsi="Times New Roman" w:cs="Times New Roman"/>
                <w:szCs w:val="24"/>
              </w:rPr>
              <w:t>通过辊压分切机将涂布好的成卷正极片或负极片经过辊压机进行碾压压实以降低极片厚度，提高电池体积利用率，并分切成小片。辊压分切过程中会产生废边角料（S2）。</w:t>
            </w:r>
          </w:p>
          <w:p>
            <w:pPr>
              <w:adjustRightInd w:val="0"/>
              <w:snapToGrid w:val="0"/>
              <w:spacing w:line="440" w:lineRule="exact"/>
              <w:ind w:firstLine="480" w:firstLineChars="0"/>
              <w:jc w:val="left"/>
              <w:rPr>
                <w:rFonts w:ascii="Times New Roman" w:hAnsi="Times New Roman" w:cs="Times New Roman"/>
                <w:szCs w:val="24"/>
              </w:rPr>
            </w:pPr>
            <w:r>
              <w:rPr>
                <w:rFonts w:ascii="Times New Roman" w:hAnsi="Times New Roman" w:cs="Times New Roman"/>
                <w:szCs w:val="24"/>
              </w:rPr>
              <w:fldChar w:fldCharType="begin"/>
            </w:r>
            <w:r>
              <w:rPr>
                <w:rFonts w:ascii="Times New Roman" w:hAnsi="Times New Roman" w:cs="Times New Roman"/>
                <w:szCs w:val="24"/>
              </w:rPr>
              <w:instrText xml:space="preserve"> = 6 \* GB3 </w:instrText>
            </w:r>
            <w:r>
              <w:rPr>
                <w:rFonts w:ascii="Times New Roman" w:hAnsi="Times New Roman" w:cs="Times New Roman"/>
                <w:szCs w:val="24"/>
              </w:rPr>
              <w:fldChar w:fldCharType="separate"/>
            </w:r>
            <w:r>
              <w:rPr>
                <w:rFonts w:hint="eastAsia" w:ascii="宋体" w:hAnsi="宋体" w:eastAsia="宋体" w:cs="宋体"/>
                <w:szCs w:val="24"/>
              </w:rPr>
              <w:t>⑥</w:t>
            </w:r>
            <w:r>
              <w:rPr>
                <w:rFonts w:ascii="Times New Roman" w:hAnsi="Times New Roman" w:cs="Times New Roman"/>
                <w:szCs w:val="24"/>
              </w:rPr>
              <w:fldChar w:fldCharType="end"/>
            </w:r>
            <w:r>
              <w:rPr>
                <w:rFonts w:ascii="Times New Roman" w:hAnsi="Times New Roman" w:cs="Times New Roman"/>
                <w:szCs w:val="24"/>
              </w:rPr>
              <w:t xml:space="preserve">切条、检验 </w:t>
            </w:r>
          </w:p>
          <w:p>
            <w:pPr>
              <w:adjustRightInd w:val="0"/>
              <w:snapToGrid w:val="0"/>
              <w:spacing w:line="440" w:lineRule="exact"/>
              <w:ind w:firstLine="480" w:firstLineChars="0"/>
              <w:jc w:val="left"/>
              <w:rPr>
                <w:rFonts w:ascii="Times New Roman" w:hAnsi="Times New Roman" w:cs="Times New Roman"/>
                <w:szCs w:val="24"/>
              </w:rPr>
            </w:pPr>
            <w:r>
              <w:rPr>
                <w:rFonts w:ascii="Times New Roman" w:hAnsi="Times New Roman" w:cs="Times New Roman"/>
                <w:szCs w:val="24"/>
              </w:rPr>
              <w:t xml:space="preserve">成卷正极片或负极片经碾压分切后，接着用分切机将其分切所需尺寸，同时将极片边缘未涂覆浆料的多余铝箔或铜箔裁切去除，产生废边角料（S2）。 </w:t>
            </w:r>
          </w:p>
          <w:p>
            <w:pPr>
              <w:adjustRightInd w:val="0"/>
              <w:snapToGrid w:val="0"/>
              <w:spacing w:line="440" w:lineRule="exact"/>
              <w:ind w:firstLine="480" w:firstLineChars="0"/>
              <w:jc w:val="left"/>
              <w:rPr>
                <w:rFonts w:ascii="Times New Roman" w:hAnsi="Times New Roman" w:cs="Times New Roman"/>
                <w:szCs w:val="24"/>
              </w:rPr>
            </w:pPr>
            <w:r>
              <w:rPr>
                <w:rFonts w:ascii="Times New Roman" w:hAnsi="Times New Roman" w:cs="Times New Roman"/>
                <w:szCs w:val="24"/>
              </w:rPr>
              <w:fldChar w:fldCharType="begin"/>
            </w:r>
            <w:r>
              <w:rPr>
                <w:rFonts w:ascii="Times New Roman" w:hAnsi="Times New Roman" w:cs="Times New Roman"/>
                <w:szCs w:val="24"/>
              </w:rPr>
              <w:instrText xml:space="preserve"> = 7 \* GB3 </w:instrText>
            </w:r>
            <w:r>
              <w:rPr>
                <w:rFonts w:ascii="Times New Roman" w:hAnsi="Times New Roman" w:cs="Times New Roman"/>
                <w:szCs w:val="24"/>
              </w:rPr>
              <w:fldChar w:fldCharType="separate"/>
            </w:r>
            <w:r>
              <w:rPr>
                <w:rFonts w:hint="eastAsia" w:ascii="宋体" w:hAnsi="宋体" w:eastAsia="宋体" w:cs="宋体"/>
                <w:szCs w:val="24"/>
              </w:rPr>
              <w:t>⑦</w:t>
            </w:r>
            <w:r>
              <w:rPr>
                <w:rFonts w:ascii="Times New Roman" w:hAnsi="Times New Roman" w:cs="Times New Roman"/>
                <w:szCs w:val="24"/>
              </w:rPr>
              <w:fldChar w:fldCharType="end"/>
            </w:r>
            <w:r>
              <w:rPr>
                <w:rFonts w:ascii="Times New Roman" w:hAnsi="Times New Roman" w:cs="Times New Roman"/>
                <w:szCs w:val="24"/>
              </w:rPr>
              <w:t>焊极耳</w:t>
            </w:r>
          </w:p>
          <w:p>
            <w:pPr>
              <w:adjustRightInd w:val="0"/>
              <w:snapToGrid w:val="0"/>
              <w:spacing w:line="440" w:lineRule="exact"/>
              <w:ind w:firstLine="480" w:firstLineChars="0"/>
              <w:jc w:val="left"/>
              <w:rPr>
                <w:rFonts w:ascii="Times New Roman" w:hAnsi="Times New Roman" w:cs="Times New Roman"/>
                <w:szCs w:val="24"/>
              </w:rPr>
            </w:pPr>
            <w:r>
              <w:rPr>
                <w:rFonts w:ascii="Times New Roman" w:hAnsi="Times New Roman" w:cs="Times New Roman"/>
                <w:szCs w:val="24"/>
              </w:rPr>
              <w:t>用焊接设备将正极极耳与正极极片焊接；负极极耳通过激光成型机直接切割铜箔产生。采用的焊接机是通过热融化极耳的方式实现焊接，无焊接烟气产生。</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fldChar w:fldCharType="begin"/>
            </w:r>
            <w:r>
              <w:rPr>
                <w:rFonts w:ascii="Times New Roman" w:hAnsi="Times New Roman" w:cs="Times New Roman"/>
                <w:szCs w:val="24"/>
              </w:rPr>
              <w:instrText xml:space="preserve"> = 8 \* GB3 </w:instrText>
            </w:r>
            <w:r>
              <w:rPr>
                <w:rFonts w:ascii="Times New Roman" w:hAnsi="Times New Roman" w:cs="Times New Roman"/>
                <w:szCs w:val="24"/>
              </w:rPr>
              <w:fldChar w:fldCharType="separate"/>
            </w:r>
            <w:r>
              <w:rPr>
                <w:rFonts w:hint="eastAsia" w:ascii="宋体" w:hAnsi="宋体" w:eastAsia="宋体" w:cs="宋体"/>
                <w:szCs w:val="24"/>
              </w:rPr>
              <w:t>⑧</w:t>
            </w:r>
            <w:r>
              <w:rPr>
                <w:rFonts w:ascii="Times New Roman" w:hAnsi="Times New Roman" w:cs="Times New Roman"/>
                <w:szCs w:val="24"/>
              </w:rPr>
              <w:fldChar w:fldCharType="end"/>
            </w:r>
            <w:r>
              <w:rPr>
                <w:rFonts w:ascii="Times New Roman" w:hAnsi="Times New Roman" w:cs="Times New Roman"/>
                <w:szCs w:val="24"/>
              </w:rPr>
              <w:t xml:space="preserve">卷绕、检测 </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将成卷的塑料隔膜切成所需尺寸，按照正极片—隔膜—负极片相互间隔的方式，放入卷绕机中卷绕成为电芯叠片体。通过检测设备对电芯叠片体质量进行检测，以确保其满足要求。此过程产生废隔膜（S3）。</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fldChar w:fldCharType="begin"/>
            </w:r>
            <w:r>
              <w:rPr>
                <w:rFonts w:ascii="Times New Roman" w:hAnsi="Times New Roman" w:cs="Times New Roman"/>
                <w:szCs w:val="24"/>
              </w:rPr>
              <w:instrText xml:space="preserve"> = 9 \* GB3 </w:instrText>
            </w:r>
            <w:r>
              <w:rPr>
                <w:rFonts w:ascii="Times New Roman" w:hAnsi="Times New Roman" w:cs="Times New Roman"/>
                <w:szCs w:val="24"/>
              </w:rPr>
              <w:fldChar w:fldCharType="separate"/>
            </w:r>
            <w:r>
              <w:rPr>
                <w:rFonts w:hint="eastAsia" w:ascii="宋体" w:hAnsi="宋体" w:eastAsia="宋体" w:cs="宋体"/>
                <w:szCs w:val="24"/>
              </w:rPr>
              <w:t>⑨</w:t>
            </w:r>
            <w:r>
              <w:rPr>
                <w:rFonts w:ascii="Times New Roman" w:hAnsi="Times New Roman" w:cs="Times New Roman"/>
                <w:szCs w:val="24"/>
              </w:rPr>
              <w:fldChar w:fldCharType="end"/>
            </w:r>
            <w:r>
              <w:rPr>
                <w:rFonts w:ascii="Times New Roman" w:hAnsi="Times New Roman" w:cs="Times New Roman"/>
                <w:szCs w:val="24"/>
              </w:rPr>
              <w:t xml:space="preserve">极柱焊接、包胶、包膜 </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电极片与极柱焊接在一起，通过热融化的方式实现焊接，无焊接烟气产生。再在焊接处再包上一层绝缘胶，然后再整个卷绕叠体上包一层保护膜，过程中会产生废极柱、连接片等不合格辅料（S4）。</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fldChar w:fldCharType="begin"/>
            </w:r>
            <w:r>
              <w:rPr>
                <w:rFonts w:ascii="Times New Roman" w:hAnsi="Times New Roman" w:cs="Times New Roman"/>
                <w:szCs w:val="24"/>
              </w:rPr>
              <w:instrText xml:space="preserve"> = 10 \* GB3 </w:instrText>
            </w:r>
            <w:r>
              <w:rPr>
                <w:rFonts w:ascii="Times New Roman" w:hAnsi="Times New Roman" w:cs="Times New Roman"/>
                <w:szCs w:val="24"/>
              </w:rPr>
              <w:fldChar w:fldCharType="separate"/>
            </w:r>
            <w:r>
              <w:rPr>
                <w:rFonts w:hint="eastAsia" w:ascii="宋体" w:hAnsi="宋体" w:eastAsia="宋体" w:cs="宋体"/>
                <w:szCs w:val="24"/>
              </w:rPr>
              <w:t>⑩</w:t>
            </w:r>
            <w:r>
              <w:rPr>
                <w:rFonts w:ascii="Times New Roman" w:hAnsi="Times New Roman" w:cs="Times New Roman"/>
                <w:szCs w:val="24"/>
              </w:rPr>
              <w:fldChar w:fldCharType="end"/>
            </w:r>
            <w:r>
              <w:rPr>
                <w:rFonts w:ascii="Times New Roman" w:hAnsi="Times New Roman" w:cs="Times New Roman"/>
                <w:szCs w:val="24"/>
              </w:rPr>
              <w:t xml:space="preserve">组装入壳、焊接 </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将电芯叠片体装入外购的铝壳中，然后将外购的铝盖板焊接好，将电芯外形成一个密闭的保护壳体。通过热融化的方式实现焊接，无焊接烟气产生。</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fldChar w:fldCharType="begin"/>
            </w:r>
            <w:r>
              <w:rPr>
                <w:rFonts w:ascii="Times New Roman" w:hAnsi="Times New Roman" w:cs="Times New Roman"/>
                <w:szCs w:val="24"/>
              </w:rPr>
              <w:instrText xml:space="preserve"> = 1 \* GB3 </w:instrText>
            </w:r>
            <w:r>
              <w:rPr>
                <w:rFonts w:ascii="Times New Roman" w:hAnsi="Times New Roman" w:cs="Times New Roman"/>
                <w:szCs w:val="24"/>
              </w:rPr>
              <w:fldChar w:fldCharType="separate"/>
            </w:r>
            <w:r>
              <w:rPr>
                <w:rFonts w:hint="eastAsia" w:ascii="宋体" w:hAnsi="宋体" w:eastAsia="宋体" w:cs="宋体"/>
                <w:szCs w:val="24"/>
              </w:rPr>
              <w:t>①</w:t>
            </w:r>
            <w:r>
              <w:rPr>
                <w:rFonts w:ascii="Times New Roman" w:hAnsi="Times New Roman" w:cs="Times New Roman"/>
                <w:szCs w:val="24"/>
              </w:rPr>
              <w:fldChar w:fldCharType="end"/>
            </w:r>
            <w:r>
              <w:rPr>
                <w:rFonts w:ascii="Times New Roman" w:hAnsi="Times New Roman" w:cs="Times New Roman"/>
                <w:szCs w:val="24"/>
              </w:rPr>
              <w:t xml:space="preserve">检漏 </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通过真空泵将电池壳内抽真空，然后用测试设备检测电芯的密封性，此环节会产生不合格电芯（S5）。</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fldChar w:fldCharType="begin"/>
            </w:r>
            <w:r>
              <w:rPr>
                <w:rFonts w:ascii="Times New Roman" w:hAnsi="Times New Roman" w:cs="Times New Roman"/>
                <w:szCs w:val="24"/>
              </w:rPr>
              <w:instrText xml:space="preserve"> = 2 \* GB3 </w:instrText>
            </w:r>
            <w:r>
              <w:rPr>
                <w:rFonts w:ascii="Times New Roman" w:hAnsi="Times New Roman" w:cs="Times New Roman"/>
                <w:szCs w:val="24"/>
              </w:rPr>
              <w:fldChar w:fldCharType="separate"/>
            </w:r>
            <w:r>
              <w:rPr>
                <w:rFonts w:hint="eastAsia" w:ascii="宋体" w:hAnsi="宋体" w:eastAsia="宋体" w:cs="宋体"/>
                <w:szCs w:val="24"/>
              </w:rPr>
              <w:t>②</w:t>
            </w:r>
            <w:r>
              <w:rPr>
                <w:rFonts w:ascii="Times New Roman" w:hAnsi="Times New Roman" w:cs="Times New Roman"/>
                <w:szCs w:val="24"/>
              </w:rPr>
              <w:fldChar w:fldCharType="end"/>
            </w:r>
            <w:r>
              <w:rPr>
                <w:rFonts w:ascii="Times New Roman" w:hAnsi="Times New Roman" w:cs="Times New Roman"/>
                <w:szCs w:val="24"/>
              </w:rPr>
              <w:t xml:space="preserve">电芯干燥 </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 xml:space="preserve">在未进行下一步加工前，将电芯放入隧道烘烤真空炉（采用蒸汽间接加热），进行加温保存（温度约80℃），以防止空气中的水分进入，防止水分影响产品性能。 </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fldChar w:fldCharType="begin"/>
            </w:r>
            <w:r>
              <w:rPr>
                <w:rFonts w:ascii="Times New Roman" w:hAnsi="Times New Roman" w:cs="Times New Roman"/>
                <w:szCs w:val="24"/>
              </w:rPr>
              <w:instrText xml:space="preserve"> = 3 \* GB3 </w:instrText>
            </w:r>
            <w:r>
              <w:rPr>
                <w:rFonts w:ascii="Times New Roman" w:hAnsi="Times New Roman" w:cs="Times New Roman"/>
                <w:szCs w:val="24"/>
              </w:rPr>
              <w:fldChar w:fldCharType="separate"/>
            </w:r>
            <w:r>
              <w:rPr>
                <w:rFonts w:hint="eastAsia" w:ascii="宋体" w:hAnsi="宋体" w:eastAsia="宋体" w:cs="宋体"/>
                <w:szCs w:val="24"/>
              </w:rPr>
              <w:t>③</w:t>
            </w:r>
            <w:r>
              <w:rPr>
                <w:rFonts w:ascii="Times New Roman" w:hAnsi="Times New Roman" w:cs="Times New Roman"/>
                <w:szCs w:val="24"/>
              </w:rPr>
              <w:fldChar w:fldCharType="end"/>
            </w:r>
            <w:r>
              <w:rPr>
                <w:rFonts w:ascii="Times New Roman" w:hAnsi="Times New Roman" w:cs="Times New Roman"/>
                <w:szCs w:val="24"/>
              </w:rPr>
              <w:t xml:space="preserve">一次注液、二次注液（补液）、称重 </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一次注液：通过全自动注液机完成。人工将电芯搬运至注液机托盘上，注液机自动给电池称重，称重后再送至指定位置，将电解液自动定量注入电芯内，完成注液后再进行称重。二次注液（补液）：少量电芯存在电解液不足的情况，通过补加电解液使其满足相应的容量，补液后再进行称重校核补加的电解液是否满足要求。</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fldChar w:fldCharType="begin"/>
            </w:r>
            <w:r>
              <w:rPr>
                <w:rFonts w:ascii="Times New Roman" w:hAnsi="Times New Roman" w:cs="Times New Roman"/>
                <w:szCs w:val="24"/>
              </w:rPr>
              <w:instrText xml:space="preserve"> = 4 \* GB3 </w:instrText>
            </w:r>
            <w:r>
              <w:rPr>
                <w:rFonts w:ascii="Times New Roman" w:hAnsi="Times New Roman" w:cs="Times New Roman"/>
                <w:szCs w:val="24"/>
              </w:rPr>
              <w:fldChar w:fldCharType="separate"/>
            </w:r>
            <w:r>
              <w:rPr>
                <w:rFonts w:hint="eastAsia" w:ascii="宋体" w:hAnsi="宋体" w:eastAsia="宋体" w:cs="宋体"/>
                <w:szCs w:val="24"/>
              </w:rPr>
              <w:t>④</w:t>
            </w:r>
            <w:r>
              <w:rPr>
                <w:rFonts w:ascii="Times New Roman" w:hAnsi="Times New Roman" w:cs="Times New Roman"/>
                <w:szCs w:val="24"/>
              </w:rPr>
              <w:fldChar w:fldCharType="end"/>
            </w:r>
            <w:r>
              <w:rPr>
                <w:rFonts w:ascii="Times New Roman" w:hAnsi="Times New Roman" w:cs="Times New Roman"/>
                <w:szCs w:val="24"/>
              </w:rPr>
              <w:t xml:space="preserve">静置 </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注液后的电芯放置在高温房内进行静置，高温房利用蒸汽进行加热，温度约40℃。</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fldChar w:fldCharType="begin"/>
            </w:r>
            <w:r>
              <w:rPr>
                <w:rFonts w:ascii="Times New Roman" w:hAnsi="Times New Roman" w:cs="Times New Roman"/>
                <w:szCs w:val="24"/>
              </w:rPr>
              <w:instrText xml:space="preserve"> = 5 \* GB3 </w:instrText>
            </w:r>
            <w:r>
              <w:rPr>
                <w:rFonts w:ascii="Times New Roman" w:hAnsi="Times New Roman" w:cs="Times New Roman"/>
                <w:szCs w:val="24"/>
              </w:rPr>
              <w:fldChar w:fldCharType="separate"/>
            </w:r>
            <w:r>
              <w:rPr>
                <w:rFonts w:hint="eastAsia" w:ascii="宋体" w:hAnsi="宋体" w:eastAsia="宋体" w:cs="宋体"/>
                <w:szCs w:val="24"/>
              </w:rPr>
              <w:t>⑤</w:t>
            </w:r>
            <w:r>
              <w:rPr>
                <w:rFonts w:ascii="Times New Roman" w:hAnsi="Times New Roman" w:cs="Times New Roman"/>
                <w:szCs w:val="24"/>
              </w:rPr>
              <w:fldChar w:fldCharType="end"/>
            </w:r>
            <w:r>
              <w:rPr>
                <w:rFonts w:ascii="Times New Roman" w:hAnsi="Times New Roman" w:cs="Times New Roman"/>
                <w:szCs w:val="24"/>
              </w:rPr>
              <w:t>化成</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将电芯置于化成柜上，将正负极极柱与化成柜的充放电测试探头相连接，化成柜对电芯进行充放电，将电极材料激活，使正、负电极片上聚合物与电解液相互渗透，确保正负极片表面活性。化成温度控制在30℃左右。</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fldChar w:fldCharType="begin"/>
            </w:r>
            <w:r>
              <w:rPr>
                <w:rFonts w:ascii="Times New Roman" w:hAnsi="Times New Roman" w:cs="Times New Roman"/>
                <w:szCs w:val="24"/>
              </w:rPr>
              <w:instrText xml:space="preserve"> = 6 \* GB3 </w:instrText>
            </w:r>
            <w:r>
              <w:rPr>
                <w:rFonts w:ascii="Times New Roman" w:hAnsi="Times New Roman" w:cs="Times New Roman"/>
                <w:szCs w:val="24"/>
              </w:rPr>
              <w:fldChar w:fldCharType="separate"/>
            </w:r>
            <w:r>
              <w:rPr>
                <w:rFonts w:hint="eastAsia" w:ascii="宋体" w:hAnsi="宋体" w:eastAsia="宋体" w:cs="宋体"/>
                <w:szCs w:val="24"/>
              </w:rPr>
              <w:t>⑥</w:t>
            </w:r>
            <w:r>
              <w:rPr>
                <w:rFonts w:ascii="Times New Roman" w:hAnsi="Times New Roman" w:cs="Times New Roman"/>
                <w:szCs w:val="24"/>
              </w:rPr>
              <w:fldChar w:fldCharType="end"/>
            </w:r>
            <w:r>
              <w:rPr>
                <w:rFonts w:ascii="Times New Roman" w:hAnsi="Times New Roman" w:cs="Times New Roman"/>
                <w:szCs w:val="24"/>
              </w:rPr>
              <w:t>老化、排气、封口</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老化及排气在高温房内进行，温度约40℃。在电池的注液孔内打入钢珠进行密封，然后点上密封胶，密封胶在设备处理内5秒即可固化，确保电池中电解液不会外泄。</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fldChar w:fldCharType="begin"/>
            </w:r>
            <w:r>
              <w:rPr>
                <w:rFonts w:ascii="Times New Roman" w:hAnsi="Times New Roman" w:cs="Times New Roman"/>
                <w:szCs w:val="24"/>
              </w:rPr>
              <w:instrText xml:space="preserve"> = 7 \* GB3 </w:instrText>
            </w:r>
            <w:r>
              <w:rPr>
                <w:rFonts w:ascii="Times New Roman" w:hAnsi="Times New Roman" w:cs="Times New Roman"/>
                <w:szCs w:val="24"/>
              </w:rPr>
              <w:fldChar w:fldCharType="separate"/>
            </w:r>
            <w:r>
              <w:rPr>
                <w:rFonts w:hint="eastAsia" w:ascii="宋体" w:hAnsi="宋体" w:eastAsia="宋体" w:cs="宋体"/>
                <w:szCs w:val="24"/>
              </w:rPr>
              <w:t>⑦</w:t>
            </w:r>
            <w:r>
              <w:rPr>
                <w:rFonts w:ascii="Times New Roman" w:hAnsi="Times New Roman" w:cs="Times New Roman"/>
                <w:szCs w:val="24"/>
              </w:rPr>
              <w:fldChar w:fldCharType="end"/>
            </w:r>
            <w:r>
              <w:rPr>
                <w:rFonts w:ascii="Times New Roman" w:hAnsi="Times New Roman" w:cs="Times New Roman"/>
                <w:szCs w:val="24"/>
              </w:rPr>
              <w:t xml:space="preserve">分容 </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将电芯的极耳与分容柜上的充放电测试探头连接，对电芯进行容量等性能检验。</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fldChar w:fldCharType="begin"/>
            </w:r>
            <w:r>
              <w:rPr>
                <w:rFonts w:ascii="Times New Roman" w:hAnsi="Times New Roman" w:cs="Times New Roman"/>
                <w:szCs w:val="24"/>
              </w:rPr>
              <w:instrText xml:space="preserve"> = 8 \* GB3 </w:instrText>
            </w:r>
            <w:r>
              <w:rPr>
                <w:rFonts w:ascii="Times New Roman" w:hAnsi="Times New Roman" w:cs="Times New Roman"/>
                <w:szCs w:val="24"/>
              </w:rPr>
              <w:fldChar w:fldCharType="separate"/>
            </w:r>
            <w:r>
              <w:rPr>
                <w:rFonts w:hint="eastAsia" w:ascii="宋体" w:hAnsi="宋体" w:eastAsia="宋体" w:cs="宋体"/>
                <w:szCs w:val="24"/>
              </w:rPr>
              <w:t>⑧</w:t>
            </w:r>
            <w:r>
              <w:rPr>
                <w:rFonts w:ascii="Times New Roman" w:hAnsi="Times New Roman" w:cs="Times New Roman"/>
                <w:szCs w:val="24"/>
              </w:rPr>
              <w:fldChar w:fldCharType="end"/>
            </w:r>
            <w:r>
              <w:rPr>
                <w:rFonts w:ascii="Times New Roman" w:hAnsi="Times New Roman" w:cs="Times New Roman"/>
                <w:szCs w:val="24"/>
              </w:rPr>
              <w:t xml:space="preserve">清洗铝壳 </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全自动超声波清洗机加入自来水清洗去除电芯的铝壳沾染的灰尘等杂质，清洗水循环使用，循环一定时间后电池清洗废水（W1）排放入生产废水处理站处理。</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fldChar w:fldCharType="begin"/>
            </w:r>
            <w:r>
              <w:rPr>
                <w:rFonts w:ascii="Times New Roman" w:hAnsi="Times New Roman" w:cs="Times New Roman"/>
                <w:szCs w:val="24"/>
              </w:rPr>
              <w:instrText xml:space="preserve"> = 9 \* GB3 </w:instrText>
            </w:r>
            <w:r>
              <w:rPr>
                <w:rFonts w:ascii="Times New Roman" w:hAnsi="Times New Roman" w:cs="Times New Roman"/>
                <w:szCs w:val="24"/>
              </w:rPr>
              <w:fldChar w:fldCharType="separate"/>
            </w:r>
            <w:r>
              <w:rPr>
                <w:rFonts w:hint="eastAsia" w:ascii="宋体" w:hAnsi="宋体" w:eastAsia="宋体" w:cs="宋体"/>
                <w:szCs w:val="24"/>
              </w:rPr>
              <w:t>⑨</w:t>
            </w:r>
            <w:r>
              <w:rPr>
                <w:rFonts w:ascii="Times New Roman" w:hAnsi="Times New Roman" w:cs="Times New Roman"/>
                <w:szCs w:val="24"/>
              </w:rPr>
              <w:fldChar w:fldCharType="end"/>
            </w:r>
            <w:r>
              <w:rPr>
                <w:rFonts w:ascii="Times New Roman" w:hAnsi="Times New Roman" w:cs="Times New Roman"/>
                <w:szCs w:val="24"/>
              </w:rPr>
              <w:t xml:space="preserve">测试 </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对成品电池通过专用测试设备进行各项目电学参数测试，检测电池是否满足要求。合格的转入Pack工序；不合格的电池进行检修，无法修复的作报废处置，产生废电池（S6）。</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（2）PACK工艺流程及产污环节</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PACK工艺流程及产污环节见图3。</w:t>
            </w:r>
          </w:p>
          <w:p>
            <w:pPr>
              <w:adjustRightInd w:val="0"/>
              <w:snapToGrid w:val="0"/>
              <w:spacing w:line="440" w:lineRule="exact"/>
              <w:ind w:firstLine="0" w:firstLineChars="0"/>
              <w:jc w:val="center"/>
              <w:rPr>
                <w:rFonts w:ascii="Times New Roman" w:hAnsi="Times New Roman" w:cs="Times New Roman"/>
                <w:szCs w:val="24"/>
              </w:rPr>
            </w:pPr>
            <w:r>
              <w:rPr>
                <w:rFonts w:ascii="Times New Roman" w:hAnsi="Times New Roman" w:eastAsia="黑体" w:cs="Times New Roman"/>
              </w:rPr>
              <w:drawing>
                <wp:anchor distT="0" distB="0" distL="114300" distR="114300" simplePos="0" relativeHeight="251659264" behindDoc="0" locked="0" layoutInCell="1" allowOverlap="1">
                  <wp:simplePos x="0" y="0"/>
                  <wp:positionH relativeFrom="column">
                    <wp:posOffset>1088390</wp:posOffset>
                  </wp:positionH>
                  <wp:positionV relativeFrom="paragraph">
                    <wp:posOffset>3175</wp:posOffset>
                  </wp:positionV>
                  <wp:extent cx="3058795" cy="3754120"/>
                  <wp:effectExtent l="0" t="0" r="0" b="0"/>
                  <wp:wrapTopAndBottom/>
                  <wp:docPr id="3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4"/>
                          <pic:cNvPicPr>
                            <a:picLocks noChangeAspect="1"/>
                          </pic:cNvPicPr>
                        </pic:nvPicPr>
                        <pic:blipFill>
                          <a:blip r:embed="rId16"/>
                          <a:stretch>
                            <a:fillRect/>
                          </a:stretch>
                        </pic:blipFill>
                        <pic:spPr>
                          <a:xfrm>
                            <a:off x="0" y="0"/>
                            <a:ext cx="3058795" cy="3754120"/>
                          </a:xfrm>
                          <a:prstGeom prst="rect">
                            <a:avLst/>
                          </a:prstGeom>
                          <a:noFill/>
                          <a:ln w="9525">
                            <a:noFill/>
                          </a:ln>
                        </pic:spPr>
                      </pic:pic>
                    </a:graphicData>
                  </a:graphic>
                </wp:anchor>
              </w:drawing>
            </w:r>
            <w:r>
              <w:rPr>
                <w:rFonts w:ascii="Times New Roman" w:hAnsi="Times New Roman" w:eastAsia="黑体" w:cs="Times New Roman"/>
                <w:szCs w:val="24"/>
              </w:rPr>
              <w:t>图3  PACK工艺流程及产污环节</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fldChar w:fldCharType="begin"/>
            </w:r>
            <w:r>
              <w:rPr>
                <w:rFonts w:ascii="Times New Roman" w:hAnsi="Times New Roman" w:cs="Times New Roman"/>
                <w:szCs w:val="24"/>
              </w:rPr>
              <w:instrText xml:space="preserve"> = 1 \* GB3 </w:instrText>
            </w:r>
            <w:r>
              <w:rPr>
                <w:rFonts w:ascii="Times New Roman" w:hAnsi="Times New Roman" w:cs="Times New Roman"/>
                <w:szCs w:val="24"/>
              </w:rPr>
              <w:fldChar w:fldCharType="separate"/>
            </w:r>
            <w:r>
              <w:rPr>
                <w:rFonts w:hint="eastAsia" w:ascii="宋体" w:hAnsi="宋体" w:eastAsia="宋体" w:cs="宋体"/>
                <w:szCs w:val="24"/>
              </w:rPr>
              <w:t>①</w:t>
            </w:r>
            <w:r>
              <w:rPr>
                <w:rFonts w:ascii="Times New Roman" w:hAnsi="Times New Roman" w:cs="Times New Roman"/>
                <w:szCs w:val="24"/>
              </w:rPr>
              <w:fldChar w:fldCharType="end"/>
            </w:r>
            <w:r>
              <w:rPr>
                <w:rFonts w:ascii="Times New Roman" w:hAnsi="Times New Roman" w:cs="Times New Roman"/>
                <w:szCs w:val="24"/>
              </w:rPr>
              <w:t xml:space="preserve">配组 </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根据电动车电池配组方式，按照最终需要配成的电压、电流，通过自动分选机从电芯中挑选出数个适合的电芯组成电池组模块。</w:t>
            </w:r>
          </w:p>
          <w:p>
            <w:pPr>
              <w:adjustRightInd w:val="0"/>
              <w:snapToGrid w:val="0"/>
              <w:spacing w:line="440" w:lineRule="exact"/>
              <w:ind w:firstLine="480" w:firstLineChars="0"/>
              <w:jc w:val="left"/>
              <w:rPr>
                <w:rFonts w:ascii="Times New Roman" w:hAnsi="Times New Roman" w:cs="Times New Roman"/>
                <w:szCs w:val="24"/>
              </w:rPr>
            </w:pPr>
            <w:r>
              <w:rPr>
                <w:rFonts w:ascii="Times New Roman" w:hAnsi="Times New Roman" w:cs="Times New Roman"/>
                <w:szCs w:val="24"/>
              </w:rPr>
              <w:fldChar w:fldCharType="begin"/>
            </w:r>
            <w:r>
              <w:rPr>
                <w:rFonts w:ascii="Times New Roman" w:hAnsi="Times New Roman" w:cs="Times New Roman"/>
                <w:szCs w:val="24"/>
              </w:rPr>
              <w:instrText xml:space="preserve"> = 2 \* GB3 </w:instrText>
            </w:r>
            <w:r>
              <w:rPr>
                <w:rFonts w:ascii="Times New Roman" w:hAnsi="Times New Roman" w:cs="Times New Roman"/>
                <w:szCs w:val="24"/>
              </w:rPr>
              <w:fldChar w:fldCharType="separate"/>
            </w:r>
            <w:r>
              <w:rPr>
                <w:rFonts w:hint="eastAsia" w:ascii="宋体" w:hAnsi="宋体" w:eastAsia="宋体" w:cs="宋体"/>
                <w:szCs w:val="24"/>
              </w:rPr>
              <w:t>②</w:t>
            </w:r>
            <w:r>
              <w:rPr>
                <w:rFonts w:ascii="Times New Roman" w:hAnsi="Times New Roman" w:cs="Times New Roman"/>
                <w:szCs w:val="24"/>
              </w:rPr>
              <w:fldChar w:fldCharType="end"/>
            </w:r>
            <w:r>
              <w:rPr>
                <w:rFonts w:ascii="Times New Roman" w:hAnsi="Times New Roman" w:cs="Times New Roman"/>
                <w:szCs w:val="24"/>
              </w:rPr>
              <w:t xml:space="preserve">组装 </w:t>
            </w:r>
          </w:p>
          <w:p>
            <w:pPr>
              <w:adjustRightInd w:val="0"/>
              <w:snapToGrid w:val="0"/>
              <w:spacing w:line="440" w:lineRule="exact"/>
              <w:ind w:firstLine="480" w:firstLineChars="0"/>
              <w:jc w:val="left"/>
              <w:rPr>
                <w:rFonts w:ascii="Times New Roman" w:hAnsi="Times New Roman" w:cs="Times New Roman"/>
                <w:szCs w:val="24"/>
              </w:rPr>
            </w:pPr>
            <w:r>
              <w:rPr>
                <w:rFonts w:ascii="Times New Roman" w:hAnsi="Times New Roman" w:cs="Times New Roman"/>
                <w:szCs w:val="24"/>
              </w:rPr>
              <w:t>将配组好的各个电芯按要求放入标准模块盒内，形成一个电池组整体。</w:t>
            </w:r>
          </w:p>
          <w:p>
            <w:pPr>
              <w:adjustRightInd w:val="0"/>
              <w:snapToGrid w:val="0"/>
              <w:spacing w:line="440" w:lineRule="exact"/>
              <w:ind w:firstLine="482" w:firstLineChars="0"/>
              <w:jc w:val="left"/>
              <w:rPr>
                <w:rFonts w:ascii="Times New Roman" w:hAnsi="Times New Roman" w:cs="Times New Roman"/>
                <w:szCs w:val="24"/>
              </w:rPr>
            </w:pPr>
            <w:r>
              <w:rPr>
                <w:rFonts w:ascii="Times New Roman" w:hAnsi="Times New Roman" w:cs="Times New Roman"/>
                <w:szCs w:val="24"/>
              </w:rPr>
              <w:fldChar w:fldCharType="begin"/>
            </w:r>
            <w:r>
              <w:rPr>
                <w:rFonts w:ascii="Times New Roman" w:hAnsi="Times New Roman" w:cs="Times New Roman"/>
                <w:szCs w:val="24"/>
              </w:rPr>
              <w:instrText xml:space="preserve"> = 3 \* GB3 </w:instrText>
            </w:r>
            <w:r>
              <w:rPr>
                <w:rFonts w:ascii="Times New Roman" w:hAnsi="Times New Roman" w:cs="Times New Roman"/>
                <w:szCs w:val="24"/>
              </w:rPr>
              <w:fldChar w:fldCharType="separate"/>
            </w:r>
            <w:r>
              <w:rPr>
                <w:rFonts w:hint="eastAsia" w:ascii="宋体" w:hAnsi="宋体" w:eastAsia="宋体" w:cs="宋体"/>
                <w:szCs w:val="24"/>
              </w:rPr>
              <w:t>③</w:t>
            </w:r>
            <w:r>
              <w:rPr>
                <w:rFonts w:ascii="Times New Roman" w:hAnsi="Times New Roman" w:cs="Times New Roman"/>
                <w:szCs w:val="24"/>
              </w:rPr>
              <w:fldChar w:fldCharType="end"/>
            </w:r>
            <w:r>
              <w:rPr>
                <w:rFonts w:ascii="Times New Roman" w:hAnsi="Times New Roman" w:cs="Times New Roman"/>
                <w:szCs w:val="24"/>
              </w:rPr>
              <w:t xml:space="preserve">焊接 </w:t>
            </w:r>
          </w:p>
          <w:p>
            <w:pPr>
              <w:adjustRightInd w:val="0"/>
              <w:snapToGrid w:val="0"/>
              <w:spacing w:line="440" w:lineRule="exact"/>
              <w:ind w:firstLine="482" w:firstLineChars="0"/>
              <w:jc w:val="left"/>
              <w:rPr>
                <w:rFonts w:ascii="Times New Roman" w:hAnsi="Times New Roman" w:cs="Times New Roman"/>
                <w:szCs w:val="24"/>
              </w:rPr>
            </w:pPr>
            <w:r>
              <w:rPr>
                <w:rFonts w:ascii="Times New Roman" w:hAnsi="Times New Roman" w:cs="Times New Roman"/>
                <w:szCs w:val="24"/>
              </w:rPr>
              <w:t>每辆电动车往往需要多个电池组通过串联或并联的方式组成。单个电池组通过金属连接片相互连接，由激光焊接的方式将多个电池组焊连在一起。</w:t>
            </w:r>
          </w:p>
          <w:p>
            <w:pPr>
              <w:adjustRightInd w:val="0"/>
              <w:snapToGrid w:val="0"/>
              <w:spacing w:line="440" w:lineRule="exact"/>
              <w:ind w:firstLine="482" w:firstLineChars="0"/>
              <w:jc w:val="left"/>
              <w:rPr>
                <w:rFonts w:ascii="Times New Roman" w:hAnsi="Times New Roman" w:cs="Times New Roman"/>
                <w:szCs w:val="24"/>
              </w:rPr>
            </w:pPr>
            <w:r>
              <w:rPr>
                <w:rFonts w:ascii="Times New Roman" w:hAnsi="Times New Roman" w:cs="Times New Roman"/>
                <w:szCs w:val="24"/>
              </w:rPr>
              <w:fldChar w:fldCharType="begin"/>
            </w:r>
            <w:r>
              <w:rPr>
                <w:rFonts w:ascii="Times New Roman" w:hAnsi="Times New Roman" w:cs="Times New Roman"/>
                <w:szCs w:val="24"/>
              </w:rPr>
              <w:instrText xml:space="preserve"> = 4 \* GB3 </w:instrText>
            </w:r>
            <w:r>
              <w:rPr>
                <w:rFonts w:ascii="Times New Roman" w:hAnsi="Times New Roman" w:cs="Times New Roman"/>
                <w:szCs w:val="24"/>
              </w:rPr>
              <w:fldChar w:fldCharType="separate"/>
            </w:r>
            <w:r>
              <w:rPr>
                <w:rFonts w:hint="eastAsia" w:ascii="宋体" w:hAnsi="宋体" w:eastAsia="宋体" w:cs="宋体"/>
                <w:szCs w:val="24"/>
              </w:rPr>
              <w:t>④</w:t>
            </w:r>
            <w:r>
              <w:rPr>
                <w:rFonts w:ascii="Times New Roman" w:hAnsi="Times New Roman" w:cs="Times New Roman"/>
                <w:szCs w:val="24"/>
              </w:rPr>
              <w:fldChar w:fldCharType="end"/>
            </w:r>
            <w:r>
              <w:rPr>
                <w:rFonts w:ascii="Times New Roman" w:hAnsi="Times New Roman" w:cs="Times New Roman"/>
                <w:szCs w:val="24"/>
              </w:rPr>
              <w:t xml:space="preserve">装箱 </w:t>
            </w:r>
          </w:p>
          <w:p>
            <w:pPr>
              <w:adjustRightInd w:val="0"/>
              <w:snapToGrid w:val="0"/>
              <w:spacing w:line="440" w:lineRule="exact"/>
              <w:ind w:firstLine="482" w:firstLineChars="0"/>
              <w:jc w:val="left"/>
              <w:rPr>
                <w:rFonts w:ascii="Times New Roman" w:hAnsi="Times New Roman" w:cs="Times New Roman"/>
                <w:szCs w:val="24"/>
              </w:rPr>
            </w:pPr>
            <w:r>
              <w:rPr>
                <w:rFonts w:ascii="Times New Roman" w:hAnsi="Times New Roman" w:cs="Times New Roman"/>
                <w:szCs w:val="24"/>
              </w:rPr>
              <w:t xml:space="preserve">通过人工将电池组按照设计要求装入外购的电池箱体。 </w:t>
            </w:r>
          </w:p>
          <w:p>
            <w:pPr>
              <w:adjustRightInd w:val="0"/>
              <w:snapToGrid w:val="0"/>
              <w:spacing w:line="440" w:lineRule="exact"/>
              <w:ind w:firstLine="482" w:firstLineChars="0"/>
              <w:jc w:val="left"/>
              <w:rPr>
                <w:rFonts w:ascii="Times New Roman" w:hAnsi="Times New Roman" w:cs="Times New Roman"/>
                <w:szCs w:val="24"/>
              </w:rPr>
            </w:pPr>
            <w:r>
              <w:rPr>
                <w:rFonts w:ascii="Times New Roman" w:hAnsi="Times New Roman" w:cs="Times New Roman"/>
                <w:szCs w:val="24"/>
              </w:rPr>
              <w:fldChar w:fldCharType="begin"/>
            </w:r>
            <w:r>
              <w:rPr>
                <w:rFonts w:ascii="Times New Roman" w:hAnsi="Times New Roman" w:cs="Times New Roman"/>
                <w:szCs w:val="24"/>
              </w:rPr>
              <w:instrText xml:space="preserve"> = 5 \* GB3 </w:instrText>
            </w:r>
            <w:r>
              <w:rPr>
                <w:rFonts w:ascii="Times New Roman" w:hAnsi="Times New Roman" w:cs="Times New Roman"/>
                <w:szCs w:val="24"/>
              </w:rPr>
              <w:fldChar w:fldCharType="separate"/>
            </w:r>
            <w:r>
              <w:rPr>
                <w:rFonts w:hint="eastAsia" w:ascii="宋体" w:hAnsi="宋体" w:eastAsia="宋体" w:cs="宋体"/>
                <w:szCs w:val="24"/>
              </w:rPr>
              <w:t>⑤</w:t>
            </w:r>
            <w:r>
              <w:rPr>
                <w:rFonts w:ascii="Times New Roman" w:hAnsi="Times New Roman" w:cs="Times New Roman"/>
                <w:szCs w:val="24"/>
              </w:rPr>
              <w:fldChar w:fldCharType="end"/>
            </w:r>
            <w:r>
              <w:rPr>
                <w:rFonts w:ascii="Times New Roman" w:hAnsi="Times New Roman" w:cs="Times New Roman"/>
                <w:szCs w:val="24"/>
              </w:rPr>
              <w:t>安装 BMS 系统及信号线</w:t>
            </w:r>
          </w:p>
          <w:p>
            <w:pPr>
              <w:adjustRightInd w:val="0"/>
              <w:snapToGrid w:val="0"/>
              <w:spacing w:line="440" w:lineRule="exact"/>
              <w:ind w:firstLine="482" w:firstLineChars="0"/>
              <w:jc w:val="left"/>
              <w:rPr>
                <w:rFonts w:ascii="Times New Roman" w:hAnsi="Times New Roman" w:cs="Times New Roman"/>
                <w:szCs w:val="24"/>
              </w:rPr>
            </w:pPr>
            <w:r>
              <w:rPr>
                <w:rFonts w:ascii="Times New Roman" w:hAnsi="Times New Roman" w:cs="Times New Roman"/>
                <w:szCs w:val="24"/>
              </w:rPr>
              <w:t>安装外购的信号线，并安装每个箱体的 BMS 系统（电池管理系统）。</w:t>
            </w:r>
          </w:p>
          <w:p>
            <w:pPr>
              <w:adjustRightInd w:val="0"/>
              <w:snapToGrid w:val="0"/>
              <w:spacing w:line="440" w:lineRule="exact"/>
              <w:ind w:firstLine="482" w:firstLineChars="0"/>
              <w:jc w:val="left"/>
              <w:rPr>
                <w:rFonts w:ascii="Times New Roman" w:hAnsi="Times New Roman" w:cs="Times New Roman"/>
                <w:szCs w:val="24"/>
              </w:rPr>
            </w:pPr>
            <w:r>
              <w:rPr>
                <w:rFonts w:ascii="Times New Roman" w:hAnsi="Times New Roman" w:cs="Times New Roman"/>
                <w:szCs w:val="24"/>
              </w:rPr>
              <w:fldChar w:fldCharType="begin"/>
            </w:r>
            <w:r>
              <w:rPr>
                <w:rFonts w:ascii="Times New Roman" w:hAnsi="Times New Roman" w:cs="Times New Roman"/>
                <w:szCs w:val="24"/>
              </w:rPr>
              <w:instrText xml:space="preserve"> = 6 \* GB3 </w:instrText>
            </w:r>
            <w:r>
              <w:rPr>
                <w:rFonts w:ascii="Times New Roman" w:hAnsi="Times New Roman" w:cs="Times New Roman"/>
                <w:szCs w:val="24"/>
              </w:rPr>
              <w:fldChar w:fldCharType="separate"/>
            </w:r>
            <w:r>
              <w:rPr>
                <w:rFonts w:hint="eastAsia" w:ascii="宋体" w:hAnsi="宋体" w:eastAsia="宋体" w:cs="宋体"/>
                <w:szCs w:val="24"/>
              </w:rPr>
              <w:t>⑥</w:t>
            </w:r>
            <w:r>
              <w:rPr>
                <w:rFonts w:ascii="Times New Roman" w:hAnsi="Times New Roman" w:cs="Times New Roman"/>
                <w:szCs w:val="24"/>
              </w:rPr>
              <w:fldChar w:fldCharType="end"/>
            </w:r>
            <w:r>
              <w:rPr>
                <w:rFonts w:ascii="Times New Roman" w:hAnsi="Times New Roman" w:cs="Times New Roman"/>
                <w:szCs w:val="24"/>
              </w:rPr>
              <w:t xml:space="preserve">检测 </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通过充放电测试柜对电池组的各项性能进行测试，不合格的返回各自工序检修。</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（3）生产过程污染物源强</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fldChar w:fldCharType="begin"/>
            </w:r>
            <w:r>
              <w:rPr>
                <w:rFonts w:ascii="Times New Roman" w:hAnsi="Times New Roman" w:cs="Times New Roman"/>
                <w:szCs w:val="24"/>
              </w:rPr>
              <w:instrText xml:space="preserve"> = 1 \* GB3 </w:instrText>
            </w:r>
            <w:r>
              <w:rPr>
                <w:rFonts w:ascii="Times New Roman" w:hAnsi="Times New Roman" w:cs="Times New Roman"/>
                <w:szCs w:val="24"/>
              </w:rPr>
              <w:fldChar w:fldCharType="separate"/>
            </w:r>
            <w:r>
              <w:rPr>
                <w:rFonts w:hint="eastAsia" w:ascii="宋体" w:hAnsi="宋体" w:eastAsia="宋体" w:cs="宋体"/>
                <w:szCs w:val="24"/>
              </w:rPr>
              <w:t>①</w:t>
            </w:r>
            <w:r>
              <w:rPr>
                <w:rFonts w:ascii="Times New Roman" w:hAnsi="Times New Roman" w:cs="Times New Roman"/>
                <w:szCs w:val="24"/>
              </w:rPr>
              <w:fldChar w:fldCharType="end"/>
            </w:r>
            <w:r>
              <w:rPr>
                <w:rFonts w:ascii="Times New Roman" w:hAnsi="Times New Roman" w:cs="Times New Roman"/>
                <w:szCs w:val="24"/>
              </w:rPr>
              <w:t>废气</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项目生产过程中产生的废气主要有：粉尘（G1）、非甲烷总烃（G2）。</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粉尘（G1）：来源于拆包、投料工序，</w:t>
            </w:r>
            <w:r>
              <w:rPr>
                <w:rFonts w:ascii="Times New Roman" w:hAnsi="Times New Roman" w:cs="Times New Roman"/>
              </w:rPr>
              <w:t>主要成分为</w:t>
            </w:r>
            <w:r>
              <w:rPr>
                <w:rFonts w:ascii="Times New Roman" w:hAnsi="Times New Roman" w:cs="Times New Roman"/>
                <w:szCs w:val="21"/>
              </w:rPr>
              <w:t>镍钴锰酸锂</w:t>
            </w:r>
            <w:r>
              <w:rPr>
                <w:rFonts w:ascii="Times New Roman" w:hAnsi="Times New Roman" w:cs="Times New Roman"/>
              </w:rPr>
              <w:t>、石墨等，还含有少量炭黑尘。</w:t>
            </w:r>
            <w:r>
              <w:rPr>
                <w:rFonts w:ascii="Times New Roman" w:hAnsi="Times New Roman" w:cs="Times New Roman"/>
                <w:szCs w:val="24"/>
              </w:rPr>
              <w:t>粉尘产生量约占粉料使用量的0.01%，</w:t>
            </w:r>
            <w:r>
              <w:rPr>
                <w:rFonts w:ascii="Times New Roman" w:hAnsi="Times New Roman" w:cs="Times New Roman"/>
              </w:rPr>
              <w:t>原料粉尘较细，投料容易扬尘，粉尘经二次布袋过滤除尘后，治理效率达到99%以上，按照1%无组织排放计算</w:t>
            </w:r>
            <w:r>
              <w:rPr>
                <w:rFonts w:ascii="Times New Roman" w:hAnsi="Times New Roman" w:cs="Times New Roman"/>
                <w:szCs w:val="24"/>
              </w:rPr>
              <w:t>。正负极配料房共使用粉料12840.1t/a，粉尘产生量1.28t/a，约0.013t/a以无组织形式排放。</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非甲烷总烃（G2）：混料搅拌、涂布干燥工序NMP挥发产生废气非甲烷总烃，经一套“余热回收+水直冷吸收+尾气水吸收塔”回收系统回收NMP液后，尾气返回涂布机，不对外排放。但是在NMP回收处理过程，因设备密闭原因不可避免会有少量含NMP的废气（G2）无组织排放。</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根据《电池工业污染物排放标准》（GB30484-2013），锂电池生产过程排放的有机污染物以“非甲烷总烃”计。项目选用先进的设备，使污染物排放降至最低。根据同类项目类比调查，NMP回收区无组织排放量按NMP原料用量的0.2%计，则项目NMP无组织排放量约4.63t/a。</w:t>
            </w:r>
          </w:p>
          <w:p>
            <w:pPr>
              <w:adjustRightInd w:val="0"/>
              <w:snapToGrid w:val="0"/>
              <w:spacing w:line="440" w:lineRule="exact"/>
              <w:ind w:left="480" w:firstLine="0" w:firstLineChars="0"/>
              <w:jc w:val="left"/>
              <w:rPr>
                <w:rFonts w:ascii="Times New Roman" w:hAnsi="Times New Roman" w:cs="Times New Roman"/>
                <w:szCs w:val="24"/>
              </w:rPr>
            </w:pPr>
            <w:r>
              <w:rPr>
                <w:rFonts w:ascii="Times New Roman" w:hAnsi="Times New Roman" w:cs="Times New Roman"/>
                <w:szCs w:val="24"/>
              </w:rPr>
              <w:fldChar w:fldCharType="begin"/>
            </w:r>
            <w:r>
              <w:rPr>
                <w:rFonts w:ascii="Times New Roman" w:hAnsi="Times New Roman" w:cs="Times New Roman"/>
                <w:szCs w:val="24"/>
              </w:rPr>
              <w:instrText xml:space="preserve"> = 2 \* GB3 </w:instrText>
            </w:r>
            <w:r>
              <w:rPr>
                <w:rFonts w:ascii="Times New Roman" w:hAnsi="Times New Roman" w:cs="Times New Roman"/>
                <w:szCs w:val="24"/>
              </w:rPr>
              <w:fldChar w:fldCharType="separate"/>
            </w:r>
            <w:r>
              <w:rPr>
                <w:rFonts w:hint="eastAsia" w:ascii="宋体" w:hAnsi="宋体" w:eastAsia="宋体" w:cs="宋体"/>
                <w:szCs w:val="24"/>
              </w:rPr>
              <w:t>②</w:t>
            </w:r>
            <w:r>
              <w:rPr>
                <w:rFonts w:ascii="Times New Roman" w:hAnsi="Times New Roman" w:cs="Times New Roman"/>
                <w:szCs w:val="24"/>
              </w:rPr>
              <w:fldChar w:fldCharType="end"/>
            </w:r>
            <w:r>
              <w:rPr>
                <w:rFonts w:ascii="Times New Roman" w:hAnsi="Times New Roman" w:cs="Times New Roman"/>
                <w:szCs w:val="24"/>
              </w:rPr>
              <w:t>废水</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项目产生的废水主要有电池清洗废水（W1）、地面冲洗废水、纯水制备浓水、循环冷却系统尾水以及生活污水等。其中纯水制备浓水和循环冷却系统尾水通过清下水排放。</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 xml:space="preserve">纯水制备浓水：项目纯水总用量约600t/a，纯水制造的纯水出水率为80%，则排水量约为120t/a，主要污染物为COD、SS，产生浓度为COD25mg/L、SS50mg/L。  </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循环冷却系统尾水：项目循环水量为100m</w:t>
            </w:r>
            <w:r>
              <w:rPr>
                <w:rFonts w:ascii="Times New Roman" w:hAnsi="Times New Roman" w:cs="Times New Roman"/>
                <w:szCs w:val="24"/>
                <w:vertAlign w:val="superscript"/>
              </w:rPr>
              <w:t>3</w:t>
            </w:r>
            <w:r>
              <w:rPr>
                <w:rFonts w:ascii="Times New Roman" w:hAnsi="Times New Roman" w:cs="Times New Roman"/>
                <w:szCs w:val="24"/>
              </w:rPr>
              <w:t>/h，新鲜补水量为循环水量的0.8%，即5760t/a（19.2m</w:t>
            </w:r>
            <w:r>
              <w:rPr>
                <w:rFonts w:ascii="Times New Roman" w:hAnsi="Times New Roman" w:cs="Times New Roman"/>
                <w:szCs w:val="24"/>
                <w:vertAlign w:val="superscript"/>
              </w:rPr>
              <w:t>3</w:t>
            </w:r>
            <w:r>
              <w:rPr>
                <w:rFonts w:ascii="Times New Roman" w:hAnsi="Times New Roman" w:cs="Times New Roman"/>
                <w:szCs w:val="24"/>
              </w:rPr>
              <w:t>/d），循环冷却系统尾水排放量为补水量的20%，即1150t/a（3.8t/d），主要污染物为COD、SS，产生浓度分别为COD25mg/L、SS30mg/L。</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电池清洗废水（W1）：清洗用水为自来水加碳酸钠溶解液，排放频次约3天/次。废水产生量约8t/d（2240t/a，年运行280天），主要污染物指标为COD700mg/L、SS1000mg/L、石油类30mg/L，清洗废水（W1）收集后进入厂区废水处理设施处理。</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地面冲洗废水：正极和负极拌料车间冲洗，用水量为1000t/a，冲洗废水产生量约为800t/a，主要成分为SS、COD，其产生浓度为COD450mg/L、SS800mg/L，收集后进入厂区废水处理设施处理。</w:t>
            </w:r>
          </w:p>
          <w:p>
            <w:pPr>
              <w:autoSpaceDE w:val="0"/>
              <w:autoSpaceDN w:val="0"/>
              <w:adjustRightInd w:val="0"/>
              <w:spacing w:line="440" w:lineRule="exact"/>
              <w:ind w:firstLine="480"/>
              <w:jc w:val="left"/>
              <w:rPr>
                <w:rFonts w:ascii="Times New Roman" w:hAnsi="Times New Roman" w:cs="Times New Roman"/>
              </w:rPr>
            </w:pPr>
            <w:r>
              <w:rPr>
                <w:rFonts w:ascii="Times New Roman" w:hAnsi="Times New Roman" w:cs="Times New Roman"/>
                <w:szCs w:val="24"/>
              </w:rPr>
              <w:t>上述生产废水产生总量为3040 m</w:t>
            </w:r>
            <w:r>
              <w:rPr>
                <w:rFonts w:ascii="Times New Roman" w:hAnsi="Times New Roman" w:cs="Times New Roman"/>
                <w:szCs w:val="24"/>
                <w:vertAlign w:val="superscript"/>
              </w:rPr>
              <w:t>3</w:t>
            </w:r>
            <w:r>
              <w:rPr>
                <w:rFonts w:ascii="Times New Roman" w:hAnsi="Times New Roman" w:cs="Times New Roman"/>
                <w:szCs w:val="24"/>
              </w:rPr>
              <w:t>/a，采用一套“二级混凝沉淀+微电解+生化处理”污水处理系统进行处理。</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生活污水：项目无宿舍，不设食堂。工作人员570人，年生产天数约280天，用水量按100L/人/d，排水量按用水量的80%计，则生活污水排放量12768t/a，主要污染物为COD、SS、NH</w:t>
            </w:r>
            <w:r>
              <w:rPr>
                <w:rFonts w:ascii="Times New Roman" w:hAnsi="Times New Roman" w:cs="Times New Roman"/>
                <w:szCs w:val="24"/>
                <w:vertAlign w:val="subscript"/>
              </w:rPr>
              <w:t>3</w:t>
            </w:r>
            <w:r>
              <w:rPr>
                <w:rFonts w:ascii="Times New Roman" w:hAnsi="Times New Roman" w:cs="Times New Roman"/>
                <w:szCs w:val="24"/>
              </w:rPr>
              <w:t>-N及TP，产生浓度分别为COD400mg/L、SS250mg/L、NH</w:t>
            </w:r>
            <w:r>
              <w:rPr>
                <w:rFonts w:ascii="Times New Roman" w:hAnsi="Times New Roman" w:cs="Times New Roman"/>
                <w:szCs w:val="24"/>
                <w:vertAlign w:val="subscript"/>
              </w:rPr>
              <w:t>3</w:t>
            </w:r>
            <w:r>
              <w:rPr>
                <w:rFonts w:ascii="Times New Roman" w:hAnsi="Times New Roman" w:cs="Times New Roman"/>
                <w:szCs w:val="24"/>
              </w:rPr>
              <w:t>-N30mg/L、TP4mg/L，收集后进入化粪池预处理。水平衡图详见图4。</w:t>
            </w:r>
          </w:p>
          <w:p>
            <w:pPr>
              <w:widowControl/>
              <w:spacing w:line="240" w:lineRule="auto"/>
              <w:ind w:firstLine="0" w:firstLineChars="0"/>
              <w:jc w:val="center"/>
              <w:rPr>
                <w:rFonts w:ascii="Times New Roman" w:hAnsi="Times New Roman" w:cs="Times New Roman"/>
                <w:kern w:val="0"/>
                <w:szCs w:val="24"/>
              </w:rPr>
            </w:pPr>
            <w:r>
              <w:rPr>
                <w:rFonts w:ascii="Times New Roman" w:hAnsi="Times New Roman" w:cs="Times New Roman"/>
                <w:kern w:val="0"/>
                <w:szCs w:val="24"/>
              </w:rPr>
              <w:fldChar w:fldCharType="begin"/>
            </w:r>
            <w:r>
              <w:rPr>
                <w:rFonts w:ascii="Times New Roman" w:hAnsi="Times New Roman" w:cs="Times New Roman"/>
                <w:kern w:val="0"/>
                <w:szCs w:val="24"/>
              </w:rPr>
              <w:instrText xml:space="preserve"> INCLUDEPICTURE "C:\\Users\\22109\\AppData\\Roaming\\Tencent\\Users\\532983636\\QQ\\WinTemp\\RichOle\\1M$~(}FKTK`F~Q3{EOL85VC.png" \* MERGEFORMATINET </w:instrText>
            </w:r>
            <w:r>
              <w:rPr>
                <w:rFonts w:ascii="Times New Roman" w:hAnsi="Times New Roman" w:cs="Times New Roman"/>
                <w:kern w:val="0"/>
                <w:szCs w:val="24"/>
              </w:rPr>
              <w:fldChar w:fldCharType="separate"/>
            </w:r>
            <w:r>
              <w:rPr>
                <w:rFonts w:ascii="Times New Roman" w:hAnsi="Times New Roman" w:cs="Times New Roman"/>
                <w:kern w:val="0"/>
                <w:szCs w:val="24"/>
              </w:rPr>
              <w:drawing>
                <wp:inline distT="0" distB="0" distL="114300" distR="114300">
                  <wp:extent cx="5222875" cy="2315210"/>
                  <wp:effectExtent l="0" t="0" r="15875" b="8890"/>
                  <wp:docPr id="38" name="图片 4" descr="1M$~(}FKTK`F~Q3{EOL85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1M$~(}FKTK`F~Q3{EOL85VC"/>
                          <pic:cNvPicPr>
                            <a:picLocks noChangeAspect="1"/>
                          </pic:cNvPicPr>
                        </pic:nvPicPr>
                        <pic:blipFill>
                          <a:blip r:embed="rId17"/>
                          <a:stretch>
                            <a:fillRect/>
                          </a:stretch>
                        </pic:blipFill>
                        <pic:spPr>
                          <a:xfrm>
                            <a:off x="0" y="0"/>
                            <a:ext cx="5222875" cy="2315210"/>
                          </a:xfrm>
                          <a:prstGeom prst="rect">
                            <a:avLst/>
                          </a:prstGeom>
                          <a:noFill/>
                          <a:ln w="9525">
                            <a:noFill/>
                          </a:ln>
                        </pic:spPr>
                      </pic:pic>
                    </a:graphicData>
                  </a:graphic>
                </wp:inline>
              </w:drawing>
            </w:r>
            <w:r>
              <w:rPr>
                <w:rFonts w:ascii="Times New Roman" w:hAnsi="Times New Roman" w:cs="Times New Roman"/>
                <w:kern w:val="0"/>
                <w:szCs w:val="24"/>
              </w:rPr>
              <w:fldChar w:fldCharType="end"/>
            </w:r>
          </w:p>
          <w:p>
            <w:pPr>
              <w:adjustRightInd w:val="0"/>
              <w:snapToGrid w:val="0"/>
              <w:spacing w:line="440" w:lineRule="exact"/>
              <w:ind w:firstLine="480"/>
              <w:jc w:val="center"/>
              <w:rPr>
                <w:rFonts w:ascii="Times New Roman" w:hAnsi="Times New Roman" w:cs="Times New Roman"/>
                <w:szCs w:val="24"/>
              </w:rPr>
            </w:pPr>
            <w:r>
              <w:rPr>
                <w:rFonts w:ascii="Times New Roman" w:hAnsi="Times New Roman" w:cs="Times New Roman"/>
                <w:szCs w:val="24"/>
              </w:rPr>
              <w:t>图4  水平衡图</w:t>
            </w:r>
          </w:p>
          <w:p>
            <w:pPr>
              <w:autoSpaceDE w:val="0"/>
              <w:autoSpaceDN w:val="0"/>
              <w:adjustRightInd w:val="0"/>
              <w:spacing w:line="440" w:lineRule="exact"/>
              <w:ind w:firstLine="556" w:firstLineChars="232"/>
              <w:jc w:val="left"/>
              <w:rPr>
                <w:rFonts w:ascii="Times New Roman" w:hAnsi="Times New Roman" w:cs="Times New Roman"/>
                <w:szCs w:val="24"/>
              </w:rPr>
            </w:pPr>
            <w:r>
              <w:rPr>
                <w:rFonts w:ascii="Times New Roman" w:hAnsi="Times New Roman" w:cs="Times New Roman"/>
                <w:szCs w:val="24"/>
              </w:rPr>
              <w:fldChar w:fldCharType="begin"/>
            </w:r>
            <w:r>
              <w:rPr>
                <w:rFonts w:ascii="Times New Roman" w:hAnsi="Times New Roman" w:cs="Times New Roman"/>
                <w:szCs w:val="24"/>
              </w:rPr>
              <w:instrText xml:space="preserve"> = 3 \* GB3 </w:instrText>
            </w:r>
            <w:r>
              <w:rPr>
                <w:rFonts w:ascii="Times New Roman" w:hAnsi="Times New Roman" w:cs="Times New Roman"/>
                <w:szCs w:val="24"/>
              </w:rPr>
              <w:fldChar w:fldCharType="separate"/>
            </w:r>
            <w:r>
              <w:rPr>
                <w:rFonts w:hint="eastAsia" w:ascii="宋体" w:hAnsi="宋体" w:eastAsia="宋体" w:cs="宋体"/>
                <w:szCs w:val="24"/>
              </w:rPr>
              <w:t>③</w:t>
            </w:r>
            <w:r>
              <w:rPr>
                <w:rFonts w:ascii="Times New Roman" w:hAnsi="Times New Roman" w:cs="Times New Roman"/>
                <w:szCs w:val="24"/>
              </w:rPr>
              <w:fldChar w:fldCharType="end"/>
            </w:r>
            <w:r>
              <w:rPr>
                <w:rFonts w:ascii="Times New Roman" w:hAnsi="Times New Roman" w:cs="Times New Roman"/>
                <w:szCs w:val="24"/>
              </w:rPr>
              <w:t>噪声</w:t>
            </w:r>
          </w:p>
          <w:p>
            <w:pPr>
              <w:adjustRightInd w:val="0"/>
              <w:snapToGrid w:val="0"/>
              <w:spacing w:line="440" w:lineRule="exact"/>
              <w:ind w:firstLine="480"/>
              <w:rPr>
                <w:rFonts w:ascii="Times New Roman" w:hAnsi="Times New Roman" w:cs="Times New Roman"/>
              </w:rPr>
            </w:pPr>
            <w:r>
              <w:rPr>
                <w:rFonts w:ascii="Times New Roman" w:hAnsi="Times New Roman" w:cs="Times New Roman"/>
              </w:rPr>
              <w:t>主要噪声源有风机、真空搅拌机、高速轧膜机、空压机、制氮机、真空泵、冷却塔等设备产生的各类噪声，源强详见表18。</w:t>
            </w:r>
          </w:p>
          <w:p>
            <w:pPr>
              <w:snapToGrid w:val="0"/>
              <w:spacing w:line="440" w:lineRule="exact"/>
              <w:ind w:firstLine="0" w:firstLineChars="0"/>
              <w:jc w:val="center"/>
              <w:rPr>
                <w:rFonts w:ascii="Times New Roman" w:hAnsi="Times New Roman" w:eastAsia="黑体" w:cs="Times New Roman"/>
                <w:snapToGrid w:val="0"/>
                <w:kern w:val="0"/>
              </w:rPr>
            </w:pPr>
            <w:r>
              <w:rPr>
                <w:rFonts w:ascii="Times New Roman" w:hAnsi="Times New Roman" w:eastAsia="黑体" w:cs="Times New Roman"/>
                <w:snapToGrid w:val="0"/>
                <w:kern w:val="0"/>
              </w:rPr>
              <w:t>表18  建设项目噪声源强一览表</w:t>
            </w:r>
          </w:p>
          <w:tbl>
            <w:tblPr>
              <w:tblStyle w:val="11"/>
              <w:tblW w:w="8961" w:type="dxa"/>
              <w:jc w:val="center"/>
              <w:tblInd w:w="0" w:type="dxa"/>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
            <w:tblGrid>
              <w:gridCol w:w="430"/>
              <w:gridCol w:w="1643"/>
              <w:gridCol w:w="1013"/>
              <w:gridCol w:w="708"/>
              <w:gridCol w:w="1331"/>
              <w:gridCol w:w="1220"/>
              <w:gridCol w:w="1348"/>
              <w:gridCol w:w="1268"/>
            </w:tblGrid>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340" w:hRule="atLeast"/>
                <w:jc w:val="center"/>
              </w:trPr>
              <w:tc>
                <w:tcPr>
                  <w:tcW w:w="430" w:type="dxa"/>
                  <w:tcBorders>
                    <w:top w:val="single" w:color="000000" w:sz="10" w:space="0"/>
                    <w:left w:val="nil"/>
                    <w:bottom w:val="single" w:color="000000" w:sz="2" w:space="0"/>
                    <w:right w:val="single" w:color="000000" w:sz="2" w:space="0"/>
                  </w:tcBorders>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序 号</w:t>
                  </w:r>
                </w:p>
              </w:tc>
              <w:tc>
                <w:tcPr>
                  <w:tcW w:w="1643" w:type="dxa"/>
                  <w:tcBorders>
                    <w:top w:val="single" w:color="000000" w:sz="10"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设备名称</w:t>
                  </w:r>
                </w:p>
              </w:tc>
              <w:tc>
                <w:tcPr>
                  <w:tcW w:w="1013" w:type="dxa"/>
                  <w:tcBorders>
                    <w:top w:val="single" w:color="000000" w:sz="10"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声级值</w:t>
                  </w:r>
                </w:p>
                <w:p>
                  <w:pPr>
                    <w:pStyle w:val="12"/>
                    <w:spacing w:line="240" w:lineRule="auto"/>
                    <w:rPr>
                      <w:rFonts w:ascii="Times New Roman" w:hAnsi="Times New Roman" w:cs="Times New Roman"/>
                      <w:szCs w:val="21"/>
                    </w:rPr>
                  </w:pPr>
                  <w:r>
                    <w:rPr>
                      <w:rFonts w:ascii="Times New Roman" w:hAnsi="Times New Roman" w:cs="Times New Roman"/>
                      <w:szCs w:val="21"/>
                    </w:rPr>
                    <w:t>（dB(A)）</w:t>
                  </w:r>
                </w:p>
              </w:tc>
              <w:tc>
                <w:tcPr>
                  <w:tcW w:w="708" w:type="dxa"/>
                  <w:tcBorders>
                    <w:top w:val="single" w:color="000000" w:sz="10"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数量</w:t>
                  </w:r>
                </w:p>
                <w:p>
                  <w:pPr>
                    <w:pStyle w:val="12"/>
                    <w:spacing w:line="240" w:lineRule="auto"/>
                    <w:rPr>
                      <w:rFonts w:ascii="Times New Roman" w:hAnsi="Times New Roman" w:cs="Times New Roman"/>
                      <w:szCs w:val="21"/>
                    </w:rPr>
                  </w:pPr>
                  <w:r>
                    <w:rPr>
                      <w:rFonts w:ascii="Times New Roman" w:hAnsi="Times New Roman" w:cs="Times New Roman"/>
                      <w:szCs w:val="21"/>
                    </w:rPr>
                    <w:t>(台)</w:t>
                  </w:r>
                </w:p>
              </w:tc>
              <w:tc>
                <w:tcPr>
                  <w:tcW w:w="1331" w:type="dxa"/>
                  <w:tcBorders>
                    <w:top w:val="single" w:color="000000" w:sz="10"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所在车间</w:t>
                  </w:r>
                </w:p>
              </w:tc>
              <w:tc>
                <w:tcPr>
                  <w:tcW w:w="1220" w:type="dxa"/>
                  <w:tcBorders>
                    <w:top w:val="single" w:color="000000" w:sz="10"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距最近厂界位置（m）</w:t>
                  </w:r>
                </w:p>
              </w:tc>
              <w:tc>
                <w:tcPr>
                  <w:tcW w:w="1348" w:type="dxa"/>
                  <w:tcBorders>
                    <w:top w:val="single" w:color="000000" w:sz="10"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治理措施</w:t>
                  </w:r>
                </w:p>
              </w:tc>
              <w:tc>
                <w:tcPr>
                  <w:tcW w:w="1268" w:type="dxa"/>
                  <w:tcBorders>
                    <w:top w:val="single" w:color="000000" w:sz="10" w:space="0"/>
                    <w:left w:val="single" w:color="000000" w:sz="2" w:space="0"/>
                    <w:bottom w:val="single" w:color="000000" w:sz="2" w:space="0"/>
                    <w:right w:val="nil"/>
                  </w:tcBorders>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降噪效果</w:t>
                  </w:r>
                </w:p>
                <w:p>
                  <w:pPr>
                    <w:pStyle w:val="12"/>
                    <w:spacing w:line="240" w:lineRule="auto"/>
                    <w:rPr>
                      <w:rFonts w:ascii="Times New Roman" w:hAnsi="Times New Roman" w:cs="Times New Roman"/>
                      <w:szCs w:val="21"/>
                    </w:rPr>
                  </w:pPr>
                  <w:r>
                    <w:rPr>
                      <w:rFonts w:ascii="Times New Roman" w:hAnsi="Times New Roman" w:cs="Times New Roman"/>
                      <w:szCs w:val="21"/>
                    </w:rPr>
                    <w:t>（dB(A)）</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340" w:hRule="atLeast"/>
                <w:jc w:val="center"/>
              </w:trPr>
              <w:tc>
                <w:tcPr>
                  <w:tcW w:w="430" w:type="dxa"/>
                  <w:tcBorders>
                    <w:top w:val="single" w:color="000000" w:sz="2" w:space="0"/>
                    <w:left w:val="nil"/>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w w:val="99"/>
                      <w:sz w:val="21"/>
                      <w:szCs w:val="21"/>
                    </w:rPr>
                    <w:t>1</w:t>
                  </w:r>
                </w:p>
              </w:tc>
              <w:tc>
                <w:tcPr>
                  <w:tcW w:w="1643"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风机</w:t>
                  </w:r>
                </w:p>
              </w:tc>
              <w:tc>
                <w:tcPr>
                  <w:tcW w:w="1013"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4"/>
                      <w:sz w:val="21"/>
                      <w:szCs w:val="21"/>
                    </w:rPr>
                    <w:t>85~90</w:t>
                  </w:r>
                </w:p>
              </w:tc>
              <w:tc>
                <w:tcPr>
                  <w:tcW w:w="708"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12</w:t>
                  </w:r>
                </w:p>
              </w:tc>
              <w:tc>
                <w:tcPr>
                  <w:tcW w:w="1331" w:type="dxa"/>
                  <w:vMerge w:val="restart"/>
                  <w:tcBorders>
                    <w:top w:val="single" w:color="000000" w:sz="2" w:space="0"/>
                    <w:left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生产车间</w:t>
                  </w:r>
                </w:p>
              </w:tc>
              <w:tc>
                <w:tcPr>
                  <w:tcW w:w="1220"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6"/>
                      <w:sz w:val="21"/>
                      <w:szCs w:val="21"/>
                    </w:rPr>
                    <w:t>北厂界</w:t>
                  </w:r>
                  <w:r>
                    <w:rPr>
                      <w:rFonts w:ascii="Times New Roman" w:hAnsi="Times New Roman" w:cs="Times New Roman"/>
                      <w:spacing w:val="-70"/>
                      <w:sz w:val="21"/>
                      <w:szCs w:val="21"/>
                    </w:rPr>
                    <w:t xml:space="preserve"> </w:t>
                  </w:r>
                  <w:r>
                    <w:rPr>
                      <w:rFonts w:ascii="Times New Roman" w:hAnsi="Times New Roman" w:cs="Times New Roman"/>
                      <w:sz w:val="21"/>
                      <w:szCs w:val="21"/>
                    </w:rPr>
                    <w:t>170</w:t>
                  </w:r>
                </w:p>
              </w:tc>
              <w:tc>
                <w:tcPr>
                  <w:tcW w:w="1348" w:type="dxa"/>
                  <w:vMerge w:val="restart"/>
                  <w:tcBorders>
                    <w:top w:val="single" w:color="000000" w:sz="2" w:space="0"/>
                    <w:left w:val="single" w:color="000000" w:sz="2" w:space="0"/>
                    <w:bottom w:val="single" w:color="000000" w:sz="10"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8"/>
                      <w:sz w:val="21"/>
                      <w:szCs w:val="21"/>
                    </w:rPr>
                    <w:t>选用低噪音设备；消声减震；利用建筑物隔声</w:t>
                  </w:r>
                  <w:r>
                    <w:rPr>
                      <w:rFonts w:ascii="Times New Roman" w:hAnsi="Times New Roman" w:cs="Times New Roman"/>
                      <w:w w:val="99"/>
                      <w:sz w:val="21"/>
                      <w:szCs w:val="21"/>
                    </w:rPr>
                    <w:t xml:space="preserve"> </w:t>
                  </w:r>
                  <w:r>
                    <w:rPr>
                      <w:rFonts w:ascii="Times New Roman" w:hAnsi="Times New Roman" w:cs="Times New Roman"/>
                      <w:spacing w:val="-8"/>
                      <w:sz w:val="21"/>
                      <w:szCs w:val="21"/>
                    </w:rPr>
                    <w:t>屏蔽；合理</w:t>
                  </w:r>
                  <w:r>
                    <w:rPr>
                      <w:rFonts w:ascii="Times New Roman" w:hAnsi="Times New Roman" w:cs="Times New Roman"/>
                      <w:spacing w:val="-6"/>
                      <w:sz w:val="21"/>
                      <w:szCs w:val="21"/>
                    </w:rPr>
                    <w:t>布局等</w:t>
                  </w:r>
                </w:p>
              </w:tc>
              <w:tc>
                <w:tcPr>
                  <w:tcW w:w="1268" w:type="dxa"/>
                  <w:tcBorders>
                    <w:top w:val="single" w:color="000000" w:sz="2" w:space="0"/>
                    <w:left w:val="single" w:color="000000" w:sz="2" w:space="0"/>
                    <w:bottom w:val="single" w:color="000000" w:sz="2" w:space="0"/>
                    <w:right w:val="nil"/>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20</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340" w:hRule="atLeast"/>
                <w:jc w:val="center"/>
              </w:trPr>
              <w:tc>
                <w:tcPr>
                  <w:tcW w:w="430" w:type="dxa"/>
                  <w:tcBorders>
                    <w:top w:val="single" w:color="000000" w:sz="2" w:space="0"/>
                    <w:left w:val="nil"/>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w w:val="99"/>
                      <w:sz w:val="21"/>
                      <w:szCs w:val="21"/>
                    </w:rPr>
                    <w:t>2</w:t>
                  </w:r>
                </w:p>
              </w:tc>
              <w:tc>
                <w:tcPr>
                  <w:tcW w:w="1643"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真空搅拌机</w:t>
                  </w:r>
                </w:p>
              </w:tc>
              <w:tc>
                <w:tcPr>
                  <w:tcW w:w="1013"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4"/>
                      <w:sz w:val="21"/>
                      <w:szCs w:val="21"/>
                    </w:rPr>
                    <w:t>80~85</w:t>
                  </w:r>
                </w:p>
              </w:tc>
              <w:tc>
                <w:tcPr>
                  <w:tcW w:w="708"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20</w:t>
                  </w:r>
                </w:p>
              </w:tc>
              <w:tc>
                <w:tcPr>
                  <w:tcW w:w="1331" w:type="dxa"/>
                  <w:vMerge w:val="continue"/>
                  <w:tcBorders>
                    <w:left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p>
              </w:tc>
              <w:tc>
                <w:tcPr>
                  <w:tcW w:w="1220"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6"/>
                      <w:sz w:val="21"/>
                      <w:szCs w:val="21"/>
                    </w:rPr>
                    <w:t>南厂界</w:t>
                  </w:r>
                  <w:r>
                    <w:rPr>
                      <w:rFonts w:ascii="Times New Roman" w:hAnsi="Times New Roman" w:cs="Times New Roman"/>
                      <w:spacing w:val="-65"/>
                      <w:sz w:val="21"/>
                      <w:szCs w:val="21"/>
                    </w:rPr>
                    <w:t xml:space="preserve"> </w:t>
                  </w:r>
                  <w:r>
                    <w:rPr>
                      <w:rFonts w:ascii="Times New Roman" w:hAnsi="Times New Roman" w:cs="Times New Roman"/>
                      <w:spacing w:val="-3"/>
                      <w:sz w:val="21"/>
                      <w:szCs w:val="21"/>
                    </w:rPr>
                    <w:t>100</w:t>
                  </w:r>
                </w:p>
              </w:tc>
              <w:tc>
                <w:tcPr>
                  <w:tcW w:w="1348" w:type="dxa"/>
                  <w:vMerge w:val="continue"/>
                  <w:tcBorders>
                    <w:top w:val="single" w:color="000000" w:sz="2" w:space="0"/>
                    <w:left w:val="single" w:color="000000" w:sz="2" w:space="0"/>
                    <w:bottom w:val="single" w:color="000000" w:sz="10"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p>
              </w:tc>
              <w:tc>
                <w:tcPr>
                  <w:tcW w:w="1268" w:type="dxa"/>
                  <w:tcBorders>
                    <w:top w:val="single" w:color="000000" w:sz="2" w:space="0"/>
                    <w:left w:val="single" w:color="000000" w:sz="2" w:space="0"/>
                    <w:bottom w:val="single" w:color="000000" w:sz="2" w:space="0"/>
                    <w:right w:val="nil"/>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20</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340" w:hRule="atLeast"/>
                <w:jc w:val="center"/>
              </w:trPr>
              <w:tc>
                <w:tcPr>
                  <w:tcW w:w="430" w:type="dxa"/>
                  <w:tcBorders>
                    <w:top w:val="single" w:color="000000" w:sz="2" w:space="0"/>
                    <w:left w:val="nil"/>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w w:val="99"/>
                      <w:sz w:val="21"/>
                      <w:szCs w:val="21"/>
                    </w:rPr>
                    <w:t>3</w:t>
                  </w:r>
                </w:p>
              </w:tc>
              <w:tc>
                <w:tcPr>
                  <w:tcW w:w="1643"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高速分散机</w:t>
                  </w:r>
                </w:p>
              </w:tc>
              <w:tc>
                <w:tcPr>
                  <w:tcW w:w="1013"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4"/>
                      <w:sz w:val="21"/>
                      <w:szCs w:val="21"/>
                    </w:rPr>
                    <w:t>85~90</w:t>
                  </w:r>
                </w:p>
              </w:tc>
              <w:tc>
                <w:tcPr>
                  <w:tcW w:w="708"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w w:val="99"/>
                      <w:sz w:val="21"/>
                      <w:szCs w:val="21"/>
                    </w:rPr>
                    <w:t>24</w:t>
                  </w:r>
                </w:p>
              </w:tc>
              <w:tc>
                <w:tcPr>
                  <w:tcW w:w="1331" w:type="dxa"/>
                  <w:vMerge w:val="continue"/>
                  <w:tcBorders>
                    <w:left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p>
              </w:tc>
              <w:tc>
                <w:tcPr>
                  <w:tcW w:w="1220"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6"/>
                      <w:sz w:val="21"/>
                      <w:szCs w:val="21"/>
                    </w:rPr>
                    <w:t>北厂界</w:t>
                  </w:r>
                  <w:r>
                    <w:rPr>
                      <w:rFonts w:ascii="Times New Roman" w:hAnsi="Times New Roman" w:cs="Times New Roman"/>
                      <w:spacing w:val="-70"/>
                      <w:sz w:val="21"/>
                      <w:szCs w:val="21"/>
                    </w:rPr>
                    <w:t xml:space="preserve"> </w:t>
                  </w:r>
                  <w:r>
                    <w:rPr>
                      <w:rFonts w:ascii="Times New Roman" w:hAnsi="Times New Roman" w:cs="Times New Roman"/>
                      <w:sz w:val="21"/>
                      <w:szCs w:val="21"/>
                    </w:rPr>
                    <w:t>220</w:t>
                  </w:r>
                </w:p>
              </w:tc>
              <w:tc>
                <w:tcPr>
                  <w:tcW w:w="1348" w:type="dxa"/>
                  <w:vMerge w:val="continue"/>
                  <w:tcBorders>
                    <w:top w:val="single" w:color="000000" w:sz="2" w:space="0"/>
                    <w:left w:val="single" w:color="000000" w:sz="2" w:space="0"/>
                    <w:bottom w:val="single" w:color="000000" w:sz="10"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p>
              </w:tc>
              <w:tc>
                <w:tcPr>
                  <w:tcW w:w="1268" w:type="dxa"/>
                  <w:tcBorders>
                    <w:top w:val="single" w:color="000000" w:sz="2" w:space="0"/>
                    <w:left w:val="single" w:color="000000" w:sz="2" w:space="0"/>
                    <w:bottom w:val="single" w:color="000000" w:sz="2" w:space="0"/>
                    <w:right w:val="nil"/>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20</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340" w:hRule="atLeast"/>
                <w:jc w:val="center"/>
              </w:trPr>
              <w:tc>
                <w:tcPr>
                  <w:tcW w:w="430" w:type="dxa"/>
                  <w:tcBorders>
                    <w:top w:val="single" w:color="000000" w:sz="2" w:space="0"/>
                    <w:left w:val="nil"/>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w w:val="99"/>
                      <w:sz w:val="21"/>
                      <w:szCs w:val="21"/>
                    </w:rPr>
                    <w:t>4</w:t>
                  </w:r>
                </w:p>
              </w:tc>
              <w:tc>
                <w:tcPr>
                  <w:tcW w:w="1643"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强力轧膜机</w:t>
                  </w:r>
                </w:p>
              </w:tc>
              <w:tc>
                <w:tcPr>
                  <w:tcW w:w="1013"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4"/>
                      <w:sz w:val="21"/>
                      <w:szCs w:val="21"/>
                    </w:rPr>
                    <w:t>70~75</w:t>
                  </w:r>
                </w:p>
              </w:tc>
              <w:tc>
                <w:tcPr>
                  <w:tcW w:w="708"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w w:val="99"/>
                      <w:sz w:val="21"/>
                      <w:szCs w:val="21"/>
                    </w:rPr>
                    <w:t>16</w:t>
                  </w:r>
                </w:p>
              </w:tc>
              <w:tc>
                <w:tcPr>
                  <w:tcW w:w="1331" w:type="dxa"/>
                  <w:vMerge w:val="continue"/>
                  <w:tcBorders>
                    <w:left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p>
              </w:tc>
              <w:tc>
                <w:tcPr>
                  <w:tcW w:w="1220"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6"/>
                      <w:sz w:val="21"/>
                      <w:szCs w:val="21"/>
                    </w:rPr>
                    <w:t>南厂界</w:t>
                  </w:r>
                  <w:r>
                    <w:rPr>
                      <w:rFonts w:ascii="Times New Roman" w:hAnsi="Times New Roman" w:cs="Times New Roman"/>
                      <w:spacing w:val="-65"/>
                      <w:sz w:val="21"/>
                      <w:szCs w:val="21"/>
                    </w:rPr>
                    <w:t xml:space="preserve"> </w:t>
                  </w:r>
                  <w:r>
                    <w:rPr>
                      <w:rFonts w:ascii="Times New Roman" w:hAnsi="Times New Roman" w:cs="Times New Roman"/>
                      <w:spacing w:val="-3"/>
                      <w:sz w:val="21"/>
                      <w:szCs w:val="21"/>
                    </w:rPr>
                    <w:t>100</w:t>
                  </w:r>
                </w:p>
              </w:tc>
              <w:tc>
                <w:tcPr>
                  <w:tcW w:w="1348" w:type="dxa"/>
                  <w:vMerge w:val="continue"/>
                  <w:tcBorders>
                    <w:top w:val="single" w:color="000000" w:sz="2" w:space="0"/>
                    <w:left w:val="single" w:color="000000" w:sz="2" w:space="0"/>
                    <w:bottom w:val="single" w:color="000000" w:sz="10"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p>
              </w:tc>
              <w:tc>
                <w:tcPr>
                  <w:tcW w:w="1268" w:type="dxa"/>
                  <w:tcBorders>
                    <w:top w:val="single" w:color="000000" w:sz="2" w:space="0"/>
                    <w:left w:val="single" w:color="000000" w:sz="2" w:space="0"/>
                    <w:bottom w:val="single" w:color="000000" w:sz="2" w:space="0"/>
                    <w:right w:val="nil"/>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20</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340" w:hRule="atLeast"/>
                <w:jc w:val="center"/>
              </w:trPr>
              <w:tc>
                <w:tcPr>
                  <w:tcW w:w="430" w:type="dxa"/>
                  <w:tcBorders>
                    <w:top w:val="single" w:color="000000" w:sz="2" w:space="0"/>
                    <w:left w:val="nil"/>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w w:val="99"/>
                      <w:sz w:val="21"/>
                      <w:szCs w:val="21"/>
                    </w:rPr>
                    <w:t>5</w:t>
                  </w:r>
                </w:p>
              </w:tc>
              <w:tc>
                <w:tcPr>
                  <w:tcW w:w="1643"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极片分切机</w:t>
                  </w:r>
                </w:p>
              </w:tc>
              <w:tc>
                <w:tcPr>
                  <w:tcW w:w="1013"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4"/>
                      <w:sz w:val="21"/>
                      <w:szCs w:val="21"/>
                    </w:rPr>
                    <w:t>85~90</w:t>
                  </w:r>
                </w:p>
              </w:tc>
              <w:tc>
                <w:tcPr>
                  <w:tcW w:w="708"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w w:val="99"/>
                      <w:sz w:val="21"/>
                      <w:szCs w:val="21"/>
                    </w:rPr>
                    <w:t>12</w:t>
                  </w:r>
                </w:p>
              </w:tc>
              <w:tc>
                <w:tcPr>
                  <w:tcW w:w="1331" w:type="dxa"/>
                  <w:vMerge w:val="continue"/>
                  <w:tcBorders>
                    <w:left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p>
              </w:tc>
              <w:tc>
                <w:tcPr>
                  <w:tcW w:w="1220"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6"/>
                      <w:sz w:val="21"/>
                      <w:szCs w:val="21"/>
                    </w:rPr>
                    <w:t>南厂界</w:t>
                  </w:r>
                  <w:r>
                    <w:rPr>
                      <w:rFonts w:ascii="Times New Roman" w:hAnsi="Times New Roman" w:cs="Times New Roman"/>
                      <w:spacing w:val="-65"/>
                      <w:sz w:val="21"/>
                      <w:szCs w:val="21"/>
                    </w:rPr>
                    <w:t xml:space="preserve"> </w:t>
                  </w:r>
                  <w:r>
                    <w:rPr>
                      <w:rFonts w:ascii="Times New Roman" w:hAnsi="Times New Roman" w:cs="Times New Roman"/>
                      <w:spacing w:val="-3"/>
                      <w:sz w:val="21"/>
                      <w:szCs w:val="21"/>
                    </w:rPr>
                    <w:t>120</w:t>
                  </w:r>
                </w:p>
              </w:tc>
              <w:tc>
                <w:tcPr>
                  <w:tcW w:w="1348" w:type="dxa"/>
                  <w:vMerge w:val="continue"/>
                  <w:tcBorders>
                    <w:top w:val="single" w:color="000000" w:sz="2" w:space="0"/>
                    <w:left w:val="single" w:color="000000" w:sz="2" w:space="0"/>
                    <w:bottom w:val="single" w:color="000000" w:sz="10"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p>
              </w:tc>
              <w:tc>
                <w:tcPr>
                  <w:tcW w:w="1268" w:type="dxa"/>
                  <w:tcBorders>
                    <w:top w:val="single" w:color="000000" w:sz="2" w:space="0"/>
                    <w:left w:val="single" w:color="000000" w:sz="2" w:space="0"/>
                    <w:bottom w:val="single" w:color="000000" w:sz="2" w:space="0"/>
                    <w:right w:val="nil"/>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20</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340" w:hRule="atLeast"/>
                <w:jc w:val="center"/>
              </w:trPr>
              <w:tc>
                <w:tcPr>
                  <w:tcW w:w="430" w:type="dxa"/>
                  <w:tcBorders>
                    <w:top w:val="single" w:color="000000" w:sz="2" w:space="0"/>
                    <w:left w:val="nil"/>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w w:val="99"/>
                      <w:sz w:val="21"/>
                      <w:szCs w:val="21"/>
                    </w:rPr>
                    <w:t>6</w:t>
                  </w:r>
                </w:p>
              </w:tc>
              <w:tc>
                <w:tcPr>
                  <w:tcW w:w="1643"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电芯包胶机</w:t>
                  </w:r>
                </w:p>
              </w:tc>
              <w:tc>
                <w:tcPr>
                  <w:tcW w:w="1013"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4"/>
                      <w:sz w:val="21"/>
                      <w:szCs w:val="21"/>
                    </w:rPr>
                    <w:t>70~75</w:t>
                  </w:r>
                </w:p>
              </w:tc>
              <w:tc>
                <w:tcPr>
                  <w:tcW w:w="708"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w w:val="99"/>
                      <w:sz w:val="21"/>
                      <w:szCs w:val="21"/>
                    </w:rPr>
                    <w:t>24</w:t>
                  </w:r>
                </w:p>
              </w:tc>
              <w:tc>
                <w:tcPr>
                  <w:tcW w:w="1331" w:type="dxa"/>
                  <w:vMerge w:val="continue"/>
                  <w:tcBorders>
                    <w:left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p>
              </w:tc>
              <w:tc>
                <w:tcPr>
                  <w:tcW w:w="1220"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6"/>
                      <w:sz w:val="21"/>
                      <w:szCs w:val="21"/>
                    </w:rPr>
                    <w:t>南厂界</w:t>
                  </w:r>
                  <w:r>
                    <w:rPr>
                      <w:rFonts w:ascii="Times New Roman" w:hAnsi="Times New Roman" w:cs="Times New Roman"/>
                      <w:spacing w:val="-65"/>
                      <w:sz w:val="21"/>
                      <w:szCs w:val="21"/>
                    </w:rPr>
                    <w:t xml:space="preserve"> </w:t>
                  </w:r>
                  <w:r>
                    <w:rPr>
                      <w:rFonts w:ascii="Times New Roman" w:hAnsi="Times New Roman" w:cs="Times New Roman"/>
                      <w:spacing w:val="-3"/>
                      <w:sz w:val="21"/>
                      <w:szCs w:val="21"/>
                    </w:rPr>
                    <w:t>120</w:t>
                  </w:r>
                </w:p>
              </w:tc>
              <w:tc>
                <w:tcPr>
                  <w:tcW w:w="1348" w:type="dxa"/>
                  <w:vMerge w:val="continue"/>
                  <w:tcBorders>
                    <w:top w:val="single" w:color="000000" w:sz="2" w:space="0"/>
                    <w:left w:val="single" w:color="000000" w:sz="2" w:space="0"/>
                    <w:bottom w:val="single" w:color="000000" w:sz="10"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p>
              </w:tc>
              <w:tc>
                <w:tcPr>
                  <w:tcW w:w="1268" w:type="dxa"/>
                  <w:tcBorders>
                    <w:top w:val="single" w:color="000000" w:sz="2" w:space="0"/>
                    <w:left w:val="single" w:color="000000" w:sz="2" w:space="0"/>
                    <w:bottom w:val="single" w:color="000000" w:sz="2" w:space="0"/>
                    <w:right w:val="nil"/>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20</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340" w:hRule="atLeast"/>
                <w:jc w:val="center"/>
              </w:trPr>
              <w:tc>
                <w:tcPr>
                  <w:tcW w:w="430" w:type="dxa"/>
                  <w:tcBorders>
                    <w:top w:val="single" w:color="000000" w:sz="2" w:space="0"/>
                    <w:left w:val="nil"/>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w w:val="99"/>
                      <w:sz w:val="21"/>
                      <w:szCs w:val="21"/>
                    </w:rPr>
                    <w:t>7</w:t>
                  </w:r>
                </w:p>
              </w:tc>
              <w:tc>
                <w:tcPr>
                  <w:tcW w:w="1643"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转轮除湿机组</w:t>
                  </w:r>
                </w:p>
              </w:tc>
              <w:tc>
                <w:tcPr>
                  <w:tcW w:w="1013"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80~85</w:t>
                  </w:r>
                </w:p>
              </w:tc>
              <w:tc>
                <w:tcPr>
                  <w:tcW w:w="708"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w w:val="99"/>
                      <w:sz w:val="21"/>
                      <w:szCs w:val="21"/>
                    </w:rPr>
                    <w:t>12</w:t>
                  </w:r>
                </w:p>
              </w:tc>
              <w:tc>
                <w:tcPr>
                  <w:tcW w:w="1331" w:type="dxa"/>
                  <w:vMerge w:val="continue"/>
                  <w:tcBorders>
                    <w:left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p>
              </w:tc>
              <w:tc>
                <w:tcPr>
                  <w:tcW w:w="1220"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6"/>
                      <w:sz w:val="21"/>
                      <w:szCs w:val="21"/>
                    </w:rPr>
                    <w:t>西厂界</w:t>
                  </w:r>
                  <w:r>
                    <w:rPr>
                      <w:rFonts w:ascii="Times New Roman" w:hAnsi="Times New Roman" w:cs="Times New Roman"/>
                      <w:spacing w:val="-65"/>
                      <w:sz w:val="21"/>
                      <w:szCs w:val="21"/>
                    </w:rPr>
                    <w:t xml:space="preserve"> </w:t>
                  </w:r>
                  <w:r>
                    <w:rPr>
                      <w:rFonts w:ascii="Times New Roman" w:hAnsi="Times New Roman" w:cs="Times New Roman"/>
                      <w:spacing w:val="-3"/>
                      <w:sz w:val="21"/>
                      <w:szCs w:val="21"/>
                    </w:rPr>
                    <w:t>100</w:t>
                  </w:r>
                </w:p>
              </w:tc>
              <w:tc>
                <w:tcPr>
                  <w:tcW w:w="1348" w:type="dxa"/>
                  <w:vMerge w:val="continue"/>
                  <w:tcBorders>
                    <w:top w:val="single" w:color="000000" w:sz="2" w:space="0"/>
                    <w:left w:val="single" w:color="000000" w:sz="2" w:space="0"/>
                    <w:bottom w:val="single" w:color="000000" w:sz="10"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p>
              </w:tc>
              <w:tc>
                <w:tcPr>
                  <w:tcW w:w="1268" w:type="dxa"/>
                  <w:tcBorders>
                    <w:top w:val="single" w:color="000000" w:sz="2" w:space="0"/>
                    <w:left w:val="single" w:color="000000" w:sz="2" w:space="0"/>
                    <w:bottom w:val="single" w:color="000000" w:sz="2" w:space="0"/>
                    <w:right w:val="nil"/>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20</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340" w:hRule="atLeast"/>
                <w:jc w:val="center"/>
              </w:trPr>
              <w:tc>
                <w:tcPr>
                  <w:tcW w:w="430" w:type="dxa"/>
                  <w:tcBorders>
                    <w:top w:val="single" w:color="000000" w:sz="2" w:space="0"/>
                    <w:left w:val="nil"/>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w w:val="99"/>
                      <w:sz w:val="21"/>
                      <w:szCs w:val="21"/>
                    </w:rPr>
                    <w:t>8</w:t>
                  </w:r>
                </w:p>
              </w:tc>
              <w:tc>
                <w:tcPr>
                  <w:tcW w:w="1643"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空压机</w:t>
                  </w:r>
                </w:p>
              </w:tc>
              <w:tc>
                <w:tcPr>
                  <w:tcW w:w="1013"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95~100</w:t>
                  </w:r>
                </w:p>
              </w:tc>
              <w:tc>
                <w:tcPr>
                  <w:tcW w:w="708"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w w:val="99"/>
                      <w:sz w:val="21"/>
                      <w:szCs w:val="21"/>
                    </w:rPr>
                    <w:t>1</w:t>
                  </w:r>
                </w:p>
              </w:tc>
              <w:tc>
                <w:tcPr>
                  <w:tcW w:w="1331" w:type="dxa"/>
                  <w:vMerge w:val="continue"/>
                  <w:tcBorders>
                    <w:left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p>
              </w:tc>
              <w:tc>
                <w:tcPr>
                  <w:tcW w:w="1220"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6"/>
                      <w:sz w:val="21"/>
                      <w:szCs w:val="21"/>
                    </w:rPr>
                    <w:t>西厂界</w:t>
                  </w:r>
                  <w:r>
                    <w:rPr>
                      <w:rFonts w:ascii="Times New Roman" w:hAnsi="Times New Roman" w:cs="Times New Roman"/>
                      <w:spacing w:val="-65"/>
                      <w:sz w:val="21"/>
                      <w:szCs w:val="21"/>
                    </w:rPr>
                    <w:t xml:space="preserve"> </w:t>
                  </w:r>
                  <w:r>
                    <w:rPr>
                      <w:rFonts w:ascii="Times New Roman" w:hAnsi="Times New Roman" w:cs="Times New Roman"/>
                      <w:spacing w:val="-3"/>
                      <w:sz w:val="21"/>
                      <w:szCs w:val="21"/>
                    </w:rPr>
                    <w:t>100</w:t>
                  </w:r>
                </w:p>
              </w:tc>
              <w:tc>
                <w:tcPr>
                  <w:tcW w:w="1348" w:type="dxa"/>
                  <w:vMerge w:val="continue"/>
                  <w:tcBorders>
                    <w:top w:val="single" w:color="000000" w:sz="2" w:space="0"/>
                    <w:left w:val="single" w:color="000000" w:sz="2" w:space="0"/>
                    <w:bottom w:val="single" w:color="000000" w:sz="10"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p>
              </w:tc>
              <w:tc>
                <w:tcPr>
                  <w:tcW w:w="1268" w:type="dxa"/>
                  <w:tcBorders>
                    <w:top w:val="single" w:color="000000" w:sz="2" w:space="0"/>
                    <w:left w:val="single" w:color="000000" w:sz="2" w:space="0"/>
                    <w:bottom w:val="single" w:color="000000" w:sz="2" w:space="0"/>
                    <w:right w:val="nil"/>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20</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340" w:hRule="atLeast"/>
                <w:jc w:val="center"/>
              </w:trPr>
              <w:tc>
                <w:tcPr>
                  <w:tcW w:w="430" w:type="dxa"/>
                  <w:tcBorders>
                    <w:top w:val="single" w:color="000000" w:sz="2" w:space="0"/>
                    <w:left w:val="nil"/>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w w:val="99"/>
                      <w:sz w:val="21"/>
                      <w:szCs w:val="21"/>
                    </w:rPr>
                    <w:t>9</w:t>
                  </w:r>
                </w:p>
              </w:tc>
              <w:tc>
                <w:tcPr>
                  <w:tcW w:w="1643"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真空泵</w:t>
                  </w:r>
                </w:p>
              </w:tc>
              <w:tc>
                <w:tcPr>
                  <w:tcW w:w="1013"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95~100</w:t>
                  </w:r>
                </w:p>
              </w:tc>
              <w:tc>
                <w:tcPr>
                  <w:tcW w:w="708"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w w:val="99"/>
                      <w:sz w:val="21"/>
                      <w:szCs w:val="21"/>
                    </w:rPr>
                    <w:t>16</w:t>
                  </w:r>
                </w:p>
              </w:tc>
              <w:tc>
                <w:tcPr>
                  <w:tcW w:w="1331" w:type="dxa"/>
                  <w:vMerge w:val="continue"/>
                  <w:tcBorders>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p>
              </w:tc>
              <w:tc>
                <w:tcPr>
                  <w:tcW w:w="1220"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6"/>
                      <w:sz w:val="21"/>
                      <w:szCs w:val="21"/>
                    </w:rPr>
                    <w:t>南厂界</w:t>
                  </w:r>
                  <w:r>
                    <w:rPr>
                      <w:rFonts w:ascii="Times New Roman" w:hAnsi="Times New Roman" w:cs="Times New Roman"/>
                      <w:spacing w:val="-65"/>
                      <w:sz w:val="21"/>
                      <w:szCs w:val="21"/>
                    </w:rPr>
                    <w:t xml:space="preserve"> </w:t>
                  </w:r>
                  <w:r>
                    <w:rPr>
                      <w:rFonts w:ascii="Times New Roman" w:hAnsi="Times New Roman" w:cs="Times New Roman"/>
                      <w:sz w:val="21"/>
                      <w:szCs w:val="21"/>
                    </w:rPr>
                    <w:t>95</w:t>
                  </w:r>
                </w:p>
              </w:tc>
              <w:tc>
                <w:tcPr>
                  <w:tcW w:w="1348" w:type="dxa"/>
                  <w:vMerge w:val="continue"/>
                  <w:tcBorders>
                    <w:top w:val="single" w:color="000000" w:sz="2" w:space="0"/>
                    <w:left w:val="single" w:color="000000" w:sz="2" w:space="0"/>
                    <w:bottom w:val="single" w:color="000000" w:sz="10"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p>
              </w:tc>
              <w:tc>
                <w:tcPr>
                  <w:tcW w:w="1268" w:type="dxa"/>
                  <w:tcBorders>
                    <w:top w:val="single" w:color="000000" w:sz="2" w:space="0"/>
                    <w:left w:val="single" w:color="000000" w:sz="2" w:space="0"/>
                    <w:bottom w:val="single" w:color="000000" w:sz="2" w:space="0"/>
                    <w:right w:val="nil"/>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20</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340" w:hRule="atLeast"/>
                <w:jc w:val="center"/>
              </w:trPr>
              <w:tc>
                <w:tcPr>
                  <w:tcW w:w="430" w:type="dxa"/>
                  <w:tcBorders>
                    <w:top w:val="single" w:color="000000" w:sz="2" w:space="0"/>
                    <w:left w:val="nil"/>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10</w:t>
                  </w:r>
                </w:p>
              </w:tc>
              <w:tc>
                <w:tcPr>
                  <w:tcW w:w="1643"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冷却塔</w:t>
                  </w:r>
                </w:p>
              </w:tc>
              <w:tc>
                <w:tcPr>
                  <w:tcW w:w="1013"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100~105</w:t>
                  </w:r>
                </w:p>
              </w:tc>
              <w:tc>
                <w:tcPr>
                  <w:tcW w:w="708"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w w:val="99"/>
                      <w:sz w:val="21"/>
                      <w:szCs w:val="21"/>
                    </w:rPr>
                    <w:t>1</w:t>
                  </w:r>
                </w:p>
              </w:tc>
              <w:tc>
                <w:tcPr>
                  <w:tcW w:w="1331"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7"/>
                      <w:sz w:val="21"/>
                      <w:szCs w:val="21"/>
                    </w:rPr>
                    <w:t>冷水机组</w:t>
                  </w:r>
                </w:p>
              </w:tc>
              <w:tc>
                <w:tcPr>
                  <w:tcW w:w="1220"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6"/>
                      <w:sz w:val="21"/>
                      <w:szCs w:val="21"/>
                    </w:rPr>
                    <w:t>南厂界</w:t>
                  </w:r>
                  <w:r>
                    <w:rPr>
                      <w:rFonts w:ascii="Times New Roman" w:hAnsi="Times New Roman" w:cs="Times New Roman"/>
                      <w:spacing w:val="-65"/>
                      <w:sz w:val="21"/>
                      <w:szCs w:val="21"/>
                    </w:rPr>
                    <w:t xml:space="preserve"> </w:t>
                  </w:r>
                  <w:r>
                    <w:rPr>
                      <w:rFonts w:ascii="Times New Roman" w:hAnsi="Times New Roman" w:cs="Times New Roman"/>
                      <w:spacing w:val="-3"/>
                      <w:sz w:val="21"/>
                      <w:szCs w:val="21"/>
                    </w:rPr>
                    <w:t>160</w:t>
                  </w:r>
                </w:p>
              </w:tc>
              <w:tc>
                <w:tcPr>
                  <w:tcW w:w="1348" w:type="dxa"/>
                  <w:vMerge w:val="continue"/>
                  <w:tcBorders>
                    <w:top w:val="single" w:color="000000" w:sz="2" w:space="0"/>
                    <w:left w:val="single" w:color="000000" w:sz="2" w:space="0"/>
                    <w:bottom w:val="single" w:color="000000" w:sz="10"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p>
              </w:tc>
              <w:tc>
                <w:tcPr>
                  <w:tcW w:w="1268" w:type="dxa"/>
                  <w:tcBorders>
                    <w:top w:val="single" w:color="000000" w:sz="2" w:space="0"/>
                    <w:left w:val="single" w:color="000000" w:sz="2" w:space="0"/>
                    <w:bottom w:val="single" w:color="000000" w:sz="2" w:space="0"/>
                    <w:right w:val="nil"/>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20</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340" w:hRule="atLeast"/>
                <w:jc w:val="center"/>
              </w:trPr>
              <w:tc>
                <w:tcPr>
                  <w:tcW w:w="430" w:type="dxa"/>
                  <w:tcBorders>
                    <w:top w:val="single" w:color="000000" w:sz="2" w:space="0"/>
                    <w:left w:val="nil"/>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11</w:t>
                  </w:r>
                </w:p>
              </w:tc>
              <w:tc>
                <w:tcPr>
                  <w:tcW w:w="1643"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制氮机</w:t>
                  </w:r>
                </w:p>
              </w:tc>
              <w:tc>
                <w:tcPr>
                  <w:tcW w:w="1013"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95~100</w:t>
                  </w:r>
                </w:p>
              </w:tc>
              <w:tc>
                <w:tcPr>
                  <w:tcW w:w="708"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w w:val="99"/>
                      <w:sz w:val="21"/>
                      <w:szCs w:val="21"/>
                    </w:rPr>
                    <w:t>1</w:t>
                  </w:r>
                </w:p>
              </w:tc>
              <w:tc>
                <w:tcPr>
                  <w:tcW w:w="1331"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6"/>
                      <w:sz w:val="21"/>
                      <w:szCs w:val="21"/>
                    </w:rPr>
                    <w:t>氮气站</w:t>
                  </w:r>
                </w:p>
              </w:tc>
              <w:tc>
                <w:tcPr>
                  <w:tcW w:w="1220"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6"/>
                      <w:sz w:val="21"/>
                      <w:szCs w:val="21"/>
                    </w:rPr>
                    <w:t>南厂界</w:t>
                  </w:r>
                  <w:r>
                    <w:rPr>
                      <w:rFonts w:ascii="Times New Roman" w:hAnsi="Times New Roman" w:cs="Times New Roman"/>
                      <w:spacing w:val="-65"/>
                      <w:sz w:val="21"/>
                      <w:szCs w:val="21"/>
                    </w:rPr>
                    <w:t xml:space="preserve"> </w:t>
                  </w:r>
                  <w:r>
                    <w:rPr>
                      <w:rFonts w:ascii="Times New Roman" w:hAnsi="Times New Roman" w:cs="Times New Roman"/>
                      <w:spacing w:val="-3"/>
                      <w:sz w:val="21"/>
                      <w:szCs w:val="21"/>
                    </w:rPr>
                    <w:t>140</w:t>
                  </w:r>
                </w:p>
              </w:tc>
              <w:tc>
                <w:tcPr>
                  <w:tcW w:w="1348" w:type="dxa"/>
                  <w:vMerge w:val="continue"/>
                  <w:tcBorders>
                    <w:top w:val="single" w:color="000000" w:sz="2" w:space="0"/>
                    <w:left w:val="single" w:color="000000" w:sz="2" w:space="0"/>
                    <w:bottom w:val="single" w:color="000000" w:sz="10" w:space="0"/>
                    <w:right w:val="single" w:color="000000" w:sz="2"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p>
              </w:tc>
              <w:tc>
                <w:tcPr>
                  <w:tcW w:w="1268" w:type="dxa"/>
                  <w:tcBorders>
                    <w:top w:val="single" w:color="000000" w:sz="2" w:space="0"/>
                    <w:left w:val="single" w:color="000000" w:sz="2" w:space="0"/>
                    <w:bottom w:val="single" w:color="000000" w:sz="2" w:space="0"/>
                    <w:right w:val="nil"/>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20</w:t>
                  </w:r>
                </w:p>
              </w:tc>
            </w:tr>
          </w:tbl>
          <w:p>
            <w:pPr>
              <w:adjustRightInd w:val="0"/>
              <w:snapToGrid w:val="0"/>
              <w:spacing w:line="440" w:lineRule="exact"/>
              <w:ind w:firstLine="48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 4 \* GB3 </w:instrText>
            </w:r>
            <w:r>
              <w:rPr>
                <w:rFonts w:ascii="Times New Roman" w:hAnsi="Times New Roman" w:cs="Times New Roman"/>
              </w:rPr>
              <w:fldChar w:fldCharType="separate"/>
            </w:r>
            <w:r>
              <w:rPr>
                <w:rFonts w:hint="eastAsia" w:ascii="宋体" w:hAnsi="宋体" w:eastAsia="宋体" w:cs="宋体"/>
              </w:rPr>
              <w:t>④</w:t>
            </w:r>
            <w:r>
              <w:rPr>
                <w:rFonts w:ascii="Times New Roman" w:hAnsi="Times New Roman" w:cs="Times New Roman"/>
              </w:rPr>
              <w:fldChar w:fldCharType="end"/>
            </w:r>
            <w:r>
              <w:rPr>
                <w:rFonts w:ascii="Times New Roman" w:hAnsi="Times New Roman" w:cs="Times New Roman"/>
              </w:rPr>
              <w:t>固废</w:t>
            </w:r>
          </w:p>
          <w:p>
            <w:pPr>
              <w:adjustRightInd w:val="0"/>
              <w:snapToGrid w:val="0"/>
              <w:spacing w:line="440" w:lineRule="exact"/>
              <w:ind w:firstLine="480"/>
              <w:rPr>
                <w:rFonts w:ascii="Times New Roman" w:hAnsi="Times New Roman" w:cs="Times New Roman"/>
              </w:rPr>
            </w:pPr>
            <w:r>
              <w:rPr>
                <w:rFonts w:ascii="Times New Roman" w:hAnsi="Times New Roman" w:cs="Times New Roman"/>
              </w:rPr>
              <w:t>根据《国家环境保护总局关于N-甲基吡咯烷酮是否属于危险化学品事项的答复》（环信复字[2007]3号），文中提出：锂电池生产厂家废弃的NMP未列入《国家危险废物名录》，NMP回收液由厂家一并回收；根据《固体废物鉴别标准 通则》（GB34330-2017）6.1“a）任何不需要修复和加工即可用于其原始用途的物质，或者在产生点经过修复和加工后满足国家、地方制定或行业通行的产品质量标准并且用于其原始用途的物质不作为固体废物管理”，废润滑油桶、废电解液桶由厂家回收后再利用，故废润滑油桶、废电解液桶不作为固体废物管理。</w:t>
            </w:r>
          </w:p>
          <w:p>
            <w:pPr>
              <w:adjustRightInd w:val="0"/>
              <w:snapToGrid w:val="0"/>
              <w:spacing w:line="440" w:lineRule="exact"/>
              <w:ind w:firstLine="480"/>
              <w:rPr>
                <w:rFonts w:ascii="Times New Roman" w:hAnsi="Times New Roman" w:cs="Times New Roman"/>
              </w:rPr>
            </w:pPr>
            <w:r>
              <w:rPr>
                <w:rFonts w:ascii="Times New Roman" w:hAnsi="Times New Roman" w:cs="Times New Roman"/>
              </w:rPr>
              <w:t>固体废物主要有：</w:t>
            </w:r>
          </w:p>
          <w:p>
            <w:pPr>
              <w:adjustRightInd w:val="0"/>
              <w:snapToGrid w:val="0"/>
              <w:spacing w:line="440" w:lineRule="exact"/>
              <w:ind w:firstLine="480"/>
              <w:rPr>
                <w:rFonts w:ascii="Times New Roman" w:hAnsi="Times New Roman" w:cs="Times New Roman"/>
              </w:rPr>
            </w:pPr>
            <w:r>
              <w:rPr>
                <w:rFonts w:ascii="Times New Roman" w:hAnsi="Times New Roman" w:cs="Times New Roman"/>
              </w:rPr>
              <w:t>（1）NMP废液</w:t>
            </w:r>
          </w:p>
          <w:p>
            <w:pPr>
              <w:adjustRightInd w:val="0"/>
              <w:snapToGrid w:val="0"/>
              <w:spacing w:line="440" w:lineRule="exact"/>
              <w:ind w:firstLine="480"/>
              <w:rPr>
                <w:rFonts w:ascii="Times New Roman" w:hAnsi="Times New Roman" w:cs="Times New Roman"/>
              </w:rPr>
            </w:pPr>
            <w:r>
              <w:rPr>
                <w:rFonts w:ascii="Times New Roman" w:hAnsi="Times New Roman" w:cs="Times New Roman"/>
              </w:rPr>
              <w:t>使用NMP清洗正负极合浆机过筛网上的过筛残渣（S1），产生NMP废液，内含正、负极活性材料（包括镍）、NMP等成分；</w:t>
            </w:r>
          </w:p>
          <w:p>
            <w:pPr>
              <w:adjustRightInd w:val="0"/>
              <w:snapToGrid w:val="0"/>
              <w:spacing w:line="440" w:lineRule="exact"/>
              <w:ind w:firstLine="480"/>
              <w:rPr>
                <w:rFonts w:ascii="Times New Roman" w:hAnsi="Times New Roman" w:cs="Times New Roman"/>
              </w:rPr>
            </w:pPr>
            <w:r>
              <w:rPr>
                <w:rFonts w:ascii="Times New Roman" w:hAnsi="Times New Roman" w:cs="Times New Roman"/>
              </w:rPr>
              <w:t>（2）极片辊压分切、切条检验产生的废边角料（S2）；</w:t>
            </w:r>
          </w:p>
          <w:p>
            <w:pPr>
              <w:adjustRightInd w:val="0"/>
              <w:snapToGrid w:val="0"/>
              <w:spacing w:line="440" w:lineRule="exact"/>
              <w:ind w:firstLine="480"/>
              <w:rPr>
                <w:rFonts w:ascii="Times New Roman" w:hAnsi="Times New Roman" w:cs="Times New Roman"/>
              </w:rPr>
            </w:pPr>
            <w:r>
              <w:rPr>
                <w:rFonts w:ascii="Times New Roman" w:hAnsi="Times New Roman" w:cs="Times New Roman"/>
              </w:rPr>
              <w:t>（3）卷绕工序产生的废隔膜（S3）；</w:t>
            </w:r>
          </w:p>
          <w:p>
            <w:pPr>
              <w:adjustRightInd w:val="0"/>
              <w:snapToGrid w:val="0"/>
              <w:spacing w:line="440" w:lineRule="exact"/>
              <w:ind w:firstLine="480"/>
              <w:rPr>
                <w:rFonts w:ascii="Times New Roman" w:hAnsi="Times New Roman" w:cs="Times New Roman"/>
              </w:rPr>
            </w:pPr>
            <w:r>
              <w:rPr>
                <w:rFonts w:ascii="Times New Roman" w:hAnsi="Times New Roman" w:cs="Times New Roman"/>
              </w:rPr>
              <w:t>（4）焊接过程产生的废极柱、连接片等不合格辅料（S4）；</w:t>
            </w:r>
          </w:p>
          <w:p>
            <w:pPr>
              <w:adjustRightInd w:val="0"/>
              <w:snapToGrid w:val="0"/>
              <w:spacing w:line="440" w:lineRule="exact"/>
              <w:ind w:firstLine="480"/>
              <w:rPr>
                <w:rFonts w:ascii="Times New Roman" w:hAnsi="Times New Roman" w:cs="Times New Roman"/>
              </w:rPr>
            </w:pPr>
            <w:r>
              <w:rPr>
                <w:rFonts w:ascii="Times New Roman" w:hAnsi="Times New Roman" w:cs="Times New Roman"/>
              </w:rPr>
              <w:t>（5）检漏工序的不合格电芯（S5）；</w:t>
            </w:r>
          </w:p>
          <w:p>
            <w:pPr>
              <w:adjustRightInd w:val="0"/>
              <w:snapToGrid w:val="0"/>
              <w:spacing w:line="440" w:lineRule="exact"/>
              <w:ind w:firstLine="480"/>
              <w:rPr>
                <w:rFonts w:ascii="Times New Roman" w:hAnsi="Times New Roman" w:cs="Times New Roman"/>
              </w:rPr>
            </w:pPr>
            <w:r>
              <w:rPr>
                <w:rFonts w:ascii="Times New Roman" w:hAnsi="Times New Roman" w:cs="Times New Roman"/>
              </w:rPr>
              <w:t>（6）测试的废电池（S6）；</w:t>
            </w:r>
          </w:p>
          <w:p>
            <w:pPr>
              <w:adjustRightInd w:val="0"/>
              <w:snapToGrid w:val="0"/>
              <w:spacing w:line="440" w:lineRule="exact"/>
              <w:ind w:firstLine="480"/>
              <w:rPr>
                <w:rFonts w:ascii="Times New Roman" w:hAnsi="Times New Roman" w:cs="Times New Roman"/>
              </w:rPr>
            </w:pPr>
            <w:r>
              <w:rPr>
                <w:rFonts w:ascii="Times New Roman" w:hAnsi="Times New Roman" w:cs="Times New Roman"/>
              </w:rPr>
              <w:t>（7）布袋除尘器收尘；</w:t>
            </w:r>
          </w:p>
          <w:p>
            <w:pPr>
              <w:adjustRightInd w:val="0"/>
              <w:snapToGrid w:val="0"/>
              <w:spacing w:line="440" w:lineRule="exact"/>
              <w:ind w:firstLine="480"/>
              <w:rPr>
                <w:rFonts w:ascii="Times New Roman" w:hAnsi="Times New Roman" w:cs="Times New Roman"/>
              </w:rPr>
            </w:pPr>
            <w:r>
              <w:rPr>
                <w:rFonts w:ascii="Times New Roman" w:hAnsi="Times New Roman" w:cs="Times New Roman"/>
              </w:rPr>
              <w:t>（8）废弃危化品包装桶袋；</w:t>
            </w:r>
          </w:p>
          <w:p>
            <w:pPr>
              <w:adjustRightInd w:val="0"/>
              <w:snapToGrid w:val="0"/>
              <w:spacing w:line="440" w:lineRule="exact"/>
              <w:ind w:firstLine="480"/>
              <w:rPr>
                <w:rFonts w:ascii="Times New Roman" w:hAnsi="Times New Roman" w:cs="Times New Roman"/>
              </w:rPr>
            </w:pPr>
            <w:r>
              <w:rPr>
                <w:rFonts w:ascii="Times New Roman" w:hAnsi="Times New Roman" w:cs="Times New Roman"/>
              </w:rPr>
              <w:t>（9）生活垃圾；</w:t>
            </w:r>
          </w:p>
          <w:p>
            <w:pPr>
              <w:adjustRightInd w:val="0"/>
              <w:snapToGrid w:val="0"/>
              <w:spacing w:line="440" w:lineRule="exact"/>
              <w:ind w:firstLine="480"/>
              <w:rPr>
                <w:rFonts w:ascii="Times New Roman" w:hAnsi="Times New Roman" w:cs="Times New Roman"/>
              </w:rPr>
            </w:pPr>
            <w:r>
              <w:rPr>
                <w:rFonts w:ascii="Times New Roman" w:hAnsi="Times New Roman" w:cs="Times New Roman"/>
              </w:rPr>
              <w:t>（10）工业污水处理污泥及活性炭；</w:t>
            </w:r>
          </w:p>
          <w:p>
            <w:pPr>
              <w:adjustRightInd w:val="0"/>
              <w:snapToGrid w:val="0"/>
              <w:spacing w:line="440" w:lineRule="exact"/>
              <w:ind w:firstLine="480"/>
              <w:rPr>
                <w:rFonts w:ascii="Times New Roman" w:hAnsi="Times New Roman" w:cs="Times New Roman"/>
              </w:rPr>
            </w:pPr>
            <w:r>
              <w:rPr>
                <w:rFonts w:ascii="Times New Roman" w:hAnsi="Times New Roman" w:cs="Times New Roman"/>
              </w:rPr>
              <w:t>（11）化粪池污泥。</w:t>
            </w:r>
          </w:p>
          <w:p>
            <w:pPr>
              <w:adjustRightInd w:val="0"/>
              <w:snapToGrid w:val="0"/>
              <w:spacing w:line="440" w:lineRule="exact"/>
              <w:ind w:firstLine="480"/>
              <w:rPr>
                <w:rFonts w:ascii="Times New Roman" w:hAnsi="Times New Roman" w:cs="Times New Roman"/>
              </w:rPr>
            </w:pPr>
            <w:r>
              <w:rPr>
                <w:rFonts w:ascii="Times New Roman" w:hAnsi="Times New Roman" w:cs="Times New Roman"/>
              </w:rPr>
              <w:t>固体废物产生情况及属性判断：根据《固体废物鉴别标准 通则》（2017年10月1日执行），对项目生产过程产生的固体进行以下判定，详见表19。</w:t>
            </w:r>
          </w:p>
          <w:p>
            <w:pPr>
              <w:snapToGrid w:val="0"/>
              <w:spacing w:line="440" w:lineRule="exact"/>
              <w:ind w:firstLine="0" w:firstLineChars="0"/>
              <w:jc w:val="center"/>
              <w:rPr>
                <w:rFonts w:ascii="Times New Roman" w:hAnsi="Times New Roman" w:eastAsia="黑体" w:cs="Times New Roman"/>
                <w:snapToGrid w:val="0"/>
                <w:kern w:val="0"/>
              </w:rPr>
            </w:pPr>
            <w:r>
              <w:rPr>
                <w:rFonts w:ascii="Times New Roman" w:hAnsi="Times New Roman" w:eastAsia="黑体" w:cs="Times New Roman"/>
                <w:snapToGrid w:val="0"/>
                <w:kern w:val="0"/>
              </w:rPr>
              <w:t xml:space="preserve">表19  </w:t>
            </w:r>
            <w:r>
              <w:rPr>
                <w:rFonts w:ascii="Times New Roman" w:hAnsi="Times New Roman" w:eastAsia="黑体" w:cs="Times New Roman"/>
                <w:snapToGrid w:val="0"/>
                <w:kern w:val="0"/>
              </w:rPr>
              <w:tab/>
            </w:r>
            <w:r>
              <w:rPr>
                <w:rFonts w:ascii="Times New Roman" w:hAnsi="Times New Roman" w:eastAsia="黑体" w:cs="Times New Roman"/>
                <w:snapToGrid w:val="0"/>
                <w:kern w:val="0"/>
              </w:rPr>
              <w:t>项目副产物产生情况及属性判定表</w:t>
            </w:r>
          </w:p>
          <w:tbl>
            <w:tblPr>
              <w:tblStyle w:val="11"/>
              <w:tblW w:w="8961" w:type="dxa"/>
              <w:jc w:val="center"/>
              <w:tblInd w:w="0" w:type="dxa"/>
              <w:tblLayout w:type="fixed"/>
              <w:tblCellMar>
                <w:top w:w="0" w:type="dxa"/>
                <w:left w:w="0" w:type="dxa"/>
                <w:bottom w:w="0" w:type="dxa"/>
                <w:right w:w="0" w:type="dxa"/>
              </w:tblCellMar>
            </w:tblPr>
            <w:tblGrid>
              <w:gridCol w:w="381"/>
              <w:gridCol w:w="1247"/>
              <w:gridCol w:w="1142"/>
              <w:gridCol w:w="570"/>
              <w:gridCol w:w="1568"/>
              <w:gridCol w:w="857"/>
              <w:gridCol w:w="857"/>
              <w:gridCol w:w="712"/>
              <w:gridCol w:w="1627"/>
            </w:tblGrid>
            <w:tr>
              <w:tblPrEx>
                <w:tblLayout w:type="fixed"/>
                <w:tblCellMar>
                  <w:top w:w="0" w:type="dxa"/>
                  <w:left w:w="0" w:type="dxa"/>
                  <w:bottom w:w="0" w:type="dxa"/>
                  <w:right w:w="0" w:type="dxa"/>
                </w:tblCellMar>
              </w:tblPrEx>
              <w:trPr>
                <w:trHeight w:val="340" w:hRule="atLeast"/>
                <w:jc w:val="center"/>
              </w:trPr>
              <w:tc>
                <w:tcPr>
                  <w:tcW w:w="381" w:type="dxa"/>
                  <w:vMerge w:val="restart"/>
                  <w:tcBorders>
                    <w:top w:val="single" w:color="000000" w:sz="10" w:space="0"/>
                    <w:left w:val="nil"/>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序号</w:t>
                  </w:r>
                </w:p>
              </w:tc>
              <w:tc>
                <w:tcPr>
                  <w:tcW w:w="1247" w:type="dxa"/>
                  <w:vMerge w:val="restart"/>
                  <w:tcBorders>
                    <w:top w:val="single" w:color="000000" w:sz="10"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名称</w:t>
                  </w:r>
                </w:p>
              </w:tc>
              <w:tc>
                <w:tcPr>
                  <w:tcW w:w="1142" w:type="dxa"/>
                  <w:vMerge w:val="restart"/>
                  <w:tcBorders>
                    <w:top w:val="single" w:color="000000" w:sz="10"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产生工序</w:t>
                  </w:r>
                </w:p>
              </w:tc>
              <w:tc>
                <w:tcPr>
                  <w:tcW w:w="570" w:type="dxa"/>
                  <w:vMerge w:val="restart"/>
                  <w:tcBorders>
                    <w:top w:val="single" w:color="000000" w:sz="10"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形态</w:t>
                  </w:r>
                </w:p>
              </w:tc>
              <w:tc>
                <w:tcPr>
                  <w:tcW w:w="1568" w:type="dxa"/>
                  <w:vMerge w:val="restart"/>
                  <w:tcBorders>
                    <w:top w:val="single" w:color="000000" w:sz="10"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主要成分</w:t>
                  </w:r>
                </w:p>
              </w:tc>
              <w:tc>
                <w:tcPr>
                  <w:tcW w:w="857" w:type="dxa"/>
                  <w:vMerge w:val="restart"/>
                  <w:tcBorders>
                    <w:top w:val="single" w:color="000000" w:sz="10"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产生量</w:t>
                  </w:r>
                  <w:r>
                    <w:rPr>
                      <w:rFonts w:ascii="Times New Roman" w:hAnsi="Times New Roman" w:cs="Times New Roman"/>
                      <w:sz w:val="18"/>
                      <w:szCs w:val="18"/>
                    </w:rPr>
                    <w:t>（t/a）</w:t>
                  </w:r>
                </w:p>
              </w:tc>
              <w:tc>
                <w:tcPr>
                  <w:tcW w:w="3196" w:type="dxa"/>
                  <w:gridSpan w:val="3"/>
                  <w:tcBorders>
                    <w:top w:val="single" w:color="000000" w:sz="10" w:space="0"/>
                    <w:left w:val="single" w:color="000000" w:sz="4" w:space="0"/>
                    <w:bottom w:val="single" w:color="000000" w:sz="4" w:space="0"/>
                    <w:right w:val="nil"/>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判定依据</w:t>
                  </w:r>
                </w:p>
              </w:tc>
            </w:tr>
            <w:tr>
              <w:tblPrEx>
                <w:tblLayout w:type="fixed"/>
                <w:tblCellMar>
                  <w:top w:w="0" w:type="dxa"/>
                  <w:left w:w="0" w:type="dxa"/>
                  <w:bottom w:w="0" w:type="dxa"/>
                  <w:right w:w="0" w:type="dxa"/>
                </w:tblCellMar>
              </w:tblPrEx>
              <w:trPr>
                <w:trHeight w:val="340" w:hRule="atLeast"/>
                <w:jc w:val="center"/>
              </w:trPr>
              <w:tc>
                <w:tcPr>
                  <w:tcW w:w="381" w:type="dxa"/>
                  <w:vMerge w:val="continue"/>
                  <w:tcBorders>
                    <w:top w:val="single" w:color="000000" w:sz="10" w:space="0"/>
                    <w:left w:val="nil"/>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p>
              </w:tc>
              <w:tc>
                <w:tcPr>
                  <w:tcW w:w="1247" w:type="dxa"/>
                  <w:vMerge w:val="continue"/>
                  <w:tcBorders>
                    <w:top w:val="single" w:color="000000" w:sz="10"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p>
              </w:tc>
              <w:tc>
                <w:tcPr>
                  <w:tcW w:w="1142" w:type="dxa"/>
                  <w:vMerge w:val="continue"/>
                  <w:tcBorders>
                    <w:top w:val="single" w:color="000000" w:sz="10"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p>
              </w:tc>
              <w:tc>
                <w:tcPr>
                  <w:tcW w:w="570" w:type="dxa"/>
                  <w:vMerge w:val="continue"/>
                  <w:tcBorders>
                    <w:top w:val="single" w:color="000000" w:sz="10"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p>
              </w:tc>
              <w:tc>
                <w:tcPr>
                  <w:tcW w:w="1568" w:type="dxa"/>
                  <w:vMerge w:val="continue"/>
                  <w:tcBorders>
                    <w:top w:val="single" w:color="000000" w:sz="10"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p>
              </w:tc>
              <w:tc>
                <w:tcPr>
                  <w:tcW w:w="857" w:type="dxa"/>
                  <w:vMerge w:val="continue"/>
                  <w:tcBorders>
                    <w:top w:val="single" w:color="000000" w:sz="10"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p>
              </w:tc>
              <w:tc>
                <w:tcPr>
                  <w:tcW w:w="85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固体废物</w:t>
                  </w:r>
                </w:p>
              </w:tc>
              <w:tc>
                <w:tcPr>
                  <w:tcW w:w="71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副产品</w:t>
                  </w:r>
                </w:p>
              </w:tc>
              <w:tc>
                <w:tcPr>
                  <w:tcW w:w="1627" w:type="dxa"/>
                  <w:tcBorders>
                    <w:top w:val="single" w:color="000000" w:sz="4" w:space="0"/>
                    <w:left w:val="single" w:color="000000" w:sz="4" w:space="0"/>
                    <w:bottom w:val="single" w:color="000000" w:sz="4" w:space="0"/>
                    <w:right w:val="nil"/>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判断依据</w:t>
                  </w:r>
                </w:p>
              </w:tc>
            </w:tr>
            <w:tr>
              <w:tblPrEx>
                <w:tblLayout w:type="fixed"/>
                <w:tblCellMar>
                  <w:top w:w="0" w:type="dxa"/>
                  <w:left w:w="0" w:type="dxa"/>
                  <w:bottom w:w="0" w:type="dxa"/>
                  <w:right w:w="0" w:type="dxa"/>
                </w:tblCellMar>
              </w:tblPrEx>
              <w:trPr>
                <w:trHeight w:val="340" w:hRule="atLeast"/>
                <w:jc w:val="center"/>
              </w:trPr>
              <w:tc>
                <w:tcPr>
                  <w:tcW w:w="381" w:type="dxa"/>
                  <w:tcBorders>
                    <w:top w:val="single" w:color="000000" w:sz="4" w:space="0"/>
                    <w:left w:val="nil"/>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w:t>
                  </w:r>
                </w:p>
              </w:tc>
              <w:tc>
                <w:tcPr>
                  <w:tcW w:w="124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NMP废液</w:t>
                  </w:r>
                </w:p>
              </w:tc>
              <w:tc>
                <w:tcPr>
                  <w:tcW w:w="114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筛网清洗</w:t>
                  </w:r>
                </w:p>
              </w:tc>
              <w:tc>
                <w:tcPr>
                  <w:tcW w:w="570"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半固态</w:t>
                  </w:r>
                </w:p>
              </w:tc>
              <w:tc>
                <w:tcPr>
                  <w:tcW w:w="1568"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正、负极活性材料（包括镍）、NMP等</w:t>
                  </w:r>
                </w:p>
              </w:tc>
              <w:tc>
                <w:tcPr>
                  <w:tcW w:w="85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10</w:t>
                  </w:r>
                </w:p>
              </w:tc>
              <w:tc>
                <w:tcPr>
                  <w:tcW w:w="85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71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1627" w:type="dxa"/>
                  <w:vMerge w:val="restart"/>
                  <w:tcBorders>
                    <w:top w:val="single" w:color="000000" w:sz="4" w:space="0"/>
                    <w:left w:val="single" w:color="000000" w:sz="4" w:space="0"/>
                    <w:right w:val="nil"/>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napToGrid w:val="0"/>
                      <w:sz w:val="21"/>
                      <w:szCs w:val="21"/>
                    </w:rPr>
                    <w:t>《固体废物鉴别标准 通则》（GB34330-2017）</w:t>
                  </w:r>
                </w:p>
              </w:tc>
            </w:tr>
            <w:tr>
              <w:tblPrEx>
                <w:tblLayout w:type="fixed"/>
                <w:tblCellMar>
                  <w:top w:w="0" w:type="dxa"/>
                  <w:left w:w="0" w:type="dxa"/>
                  <w:bottom w:w="0" w:type="dxa"/>
                  <w:right w:w="0" w:type="dxa"/>
                </w:tblCellMar>
              </w:tblPrEx>
              <w:trPr>
                <w:trHeight w:val="340" w:hRule="atLeast"/>
                <w:jc w:val="center"/>
              </w:trPr>
              <w:tc>
                <w:tcPr>
                  <w:tcW w:w="381" w:type="dxa"/>
                  <w:tcBorders>
                    <w:top w:val="single" w:color="000000" w:sz="4" w:space="0"/>
                    <w:left w:val="nil"/>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w:t>
                  </w:r>
                </w:p>
              </w:tc>
              <w:tc>
                <w:tcPr>
                  <w:tcW w:w="124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废边角料</w:t>
                  </w:r>
                </w:p>
              </w:tc>
              <w:tc>
                <w:tcPr>
                  <w:tcW w:w="114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极片模切</w:t>
                  </w:r>
                </w:p>
              </w:tc>
              <w:tc>
                <w:tcPr>
                  <w:tcW w:w="570"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固</w:t>
                  </w:r>
                </w:p>
              </w:tc>
              <w:tc>
                <w:tcPr>
                  <w:tcW w:w="1568"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铜、铝箔</w:t>
                  </w:r>
                </w:p>
              </w:tc>
              <w:tc>
                <w:tcPr>
                  <w:tcW w:w="85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10.3</w:t>
                  </w:r>
                </w:p>
              </w:tc>
              <w:tc>
                <w:tcPr>
                  <w:tcW w:w="85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71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1627" w:type="dxa"/>
                  <w:vMerge w:val="continue"/>
                  <w:tcBorders>
                    <w:left w:val="single" w:color="000000" w:sz="4" w:space="0"/>
                    <w:right w:val="nil"/>
                  </w:tcBorders>
                  <w:tcMar>
                    <w:top w:w="28" w:type="dxa"/>
                    <w:left w:w="28" w:type="dxa"/>
                    <w:bottom w:w="28" w:type="dxa"/>
                    <w:right w:w="28" w:type="dxa"/>
                  </w:tcMar>
                  <w:vAlign w:val="center"/>
                </w:tcPr>
                <w:p>
                  <w:pPr>
                    <w:pStyle w:val="15"/>
                    <w:kinsoku w:val="0"/>
                    <w:overflowPunct w:val="0"/>
                    <w:spacing w:line="240" w:lineRule="auto"/>
                    <w:ind w:firstLine="420"/>
                    <w:jc w:val="center"/>
                    <w:rPr>
                      <w:rFonts w:ascii="Times New Roman" w:hAnsi="Times New Roman" w:cs="Times New Roman"/>
                      <w:sz w:val="21"/>
                      <w:szCs w:val="21"/>
                    </w:rPr>
                  </w:pPr>
                </w:p>
              </w:tc>
            </w:tr>
            <w:tr>
              <w:tblPrEx>
                <w:tblLayout w:type="fixed"/>
                <w:tblCellMar>
                  <w:top w:w="0" w:type="dxa"/>
                  <w:left w:w="0" w:type="dxa"/>
                  <w:bottom w:w="0" w:type="dxa"/>
                  <w:right w:w="0" w:type="dxa"/>
                </w:tblCellMar>
              </w:tblPrEx>
              <w:trPr>
                <w:trHeight w:val="340" w:hRule="atLeast"/>
                <w:jc w:val="center"/>
              </w:trPr>
              <w:tc>
                <w:tcPr>
                  <w:tcW w:w="381" w:type="dxa"/>
                  <w:tcBorders>
                    <w:top w:val="single" w:color="000000" w:sz="4" w:space="0"/>
                    <w:left w:val="nil"/>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3</w:t>
                  </w:r>
                </w:p>
              </w:tc>
              <w:tc>
                <w:tcPr>
                  <w:tcW w:w="124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废隔膜</w:t>
                  </w:r>
                </w:p>
              </w:tc>
              <w:tc>
                <w:tcPr>
                  <w:tcW w:w="114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卷绕</w:t>
                  </w:r>
                </w:p>
              </w:tc>
              <w:tc>
                <w:tcPr>
                  <w:tcW w:w="570"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固</w:t>
                  </w:r>
                </w:p>
              </w:tc>
              <w:tc>
                <w:tcPr>
                  <w:tcW w:w="1568"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铜隔膜</w:t>
                  </w:r>
                </w:p>
              </w:tc>
              <w:tc>
                <w:tcPr>
                  <w:tcW w:w="85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0.1</w:t>
                  </w:r>
                </w:p>
              </w:tc>
              <w:tc>
                <w:tcPr>
                  <w:tcW w:w="85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71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1627" w:type="dxa"/>
                  <w:vMerge w:val="continue"/>
                  <w:tcBorders>
                    <w:left w:val="single" w:color="000000" w:sz="4" w:space="0"/>
                    <w:right w:val="nil"/>
                  </w:tcBorders>
                  <w:tcMar>
                    <w:top w:w="28" w:type="dxa"/>
                    <w:left w:w="28" w:type="dxa"/>
                    <w:bottom w:w="28" w:type="dxa"/>
                    <w:right w:w="28" w:type="dxa"/>
                  </w:tcMar>
                  <w:vAlign w:val="center"/>
                </w:tcPr>
                <w:p>
                  <w:pPr>
                    <w:pStyle w:val="15"/>
                    <w:kinsoku w:val="0"/>
                    <w:overflowPunct w:val="0"/>
                    <w:spacing w:line="240" w:lineRule="auto"/>
                    <w:ind w:firstLine="420"/>
                    <w:jc w:val="center"/>
                    <w:rPr>
                      <w:rFonts w:ascii="Times New Roman" w:hAnsi="Times New Roman" w:cs="Times New Roman"/>
                      <w:sz w:val="21"/>
                      <w:szCs w:val="21"/>
                    </w:rPr>
                  </w:pPr>
                </w:p>
              </w:tc>
            </w:tr>
            <w:tr>
              <w:tblPrEx>
                <w:tblLayout w:type="fixed"/>
                <w:tblCellMar>
                  <w:top w:w="0" w:type="dxa"/>
                  <w:left w:w="0" w:type="dxa"/>
                  <w:bottom w:w="0" w:type="dxa"/>
                  <w:right w:w="0" w:type="dxa"/>
                </w:tblCellMar>
              </w:tblPrEx>
              <w:trPr>
                <w:trHeight w:val="340" w:hRule="atLeast"/>
                <w:jc w:val="center"/>
              </w:trPr>
              <w:tc>
                <w:tcPr>
                  <w:tcW w:w="381" w:type="dxa"/>
                  <w:tcBorders>
                    <w:top w:val="single" w:color="000000" w:sz="4" w:space="0"/>
                    <w:left w:val="nil"/>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4</w:t>
                  </w:r>
                </w:p>
              </w:tc>
              <w:tc>
                <w:tcPr>
                  <w:tcW w:w="124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不合格辅料</w:t>
                  </w:r>
                </w:p>
              </w:tc>
              <w:tc>
                <w:tcPr>
                  <w:tcW w:w="114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原料检验</w:t>
                  </w:r>
                </w:p>
              </w:tc>
              <w:tc>
                <w:tcPr>
                  <w:tcW w:w="570"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固</w:t>
                  </w:r>
                </w:p>
              </w:tc>
              <w:tc>
                <w:tcPr>
                  <w:tcW w:w="1568"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废极柱、连接片等</w:t>
                  </w:r>
                </w:p>
              </w:tc>
              <w:tc>
                <w:tcPr>
                  <w:tcW w:w="85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0.16</w:t>
                  </w:r>
                </w:p>
              </w:tc>
              <w:tc>
                <w:tcPr>
                  <w:tcW w:w="85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71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1627" w:type="dxa"/>
                  <w:vMerge w:val="continue"/>
                  <w:tcBorders>
                    <w:left w:val="single" w:color="000000" w:sz="4" w:space="0"/>
                    <w:right w:val="nil"/>
                  </w:tcBorders>
                  <w:tcMar>
                    <w:top w:w="28" w:type="dxa"/>
                    <w:left w:w="28" w:type="dxa"/>
                    <w:bottom w:w="28" w:type="dxa"/>
                    <w:right w:w="28" w:type="dxa"/>
                  </w:tcMar>
                  <w:vAlign w:val="center"/>
                </w:tcPr>
                <w:p>
                  <w:pPr>
                    <w:pStyle w:val="15"/>
                    <w:kinsoku w:val="0"/>
                    <w:overflowPunct w:val="0"/>
                    <w:spacing w:line="240" w:lineRule="auto"/>
                    <w:ind w:firstLine="420"/>
                    <w:jc w:val="center"/>
                    <w:rPr>
                      <w:rFonts w:ascii="Times New Roman" w:hAnsi="Times New Roman" w:cs="Times New Roman"/>
                      <w:sz w:val="21"/>
                      <w:szCs w:val="21"/>
                    </w:rPr>
                  </w:pPr>
                </w:p>
              </w:tc>
            </w:tr>
            <w:tr>
              <w:tblPrEx>
                <w:tblLayout w:type="fixed"/>
                <w:tblCellMar>
                  <w:top w:w="0" w:type="dxa"/>
                  <w:left w:w="0" w:type="dxa"/>
                  <w:bottom w:w="0" w:type="dxa"/>
                  <w:right w:w="0" w:type="dxa"/>
                </w:tblCellMar>
              </w:tblPrEx>
              <w:trPr>
                <w:trHeight w:val="340" w:hRule="atLeast"/>
                <w:jc w:val="center"/>
              </w:trPr>
              <w:tc>
                <w:tcPr>
                  <w:tcW w:w="381" w:type="dxa"/>
                  <w:tcBorders>
                    <w:top w:val="single" w:color="000000" w:sz="4" w:space="0"/>
                    <w:left w:val="nil"/>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5</w:t>
                  </w:r>
                </w:p>
              </w:tc>
              <w:tc>
                <w:tcPr>
                  <w:tcW w:w="124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不合格电芯</w:t>
                  </w:r>
                </w:p>
              </w:tc>
              <w:tc>
                <w:tcPr>
                  <w:tcW w:w="114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检漏</w:t>
                  </w:r>
                </w:p>
              </w:tc>
              <w:tc>
                <w:tcPr>
                  <w:tcW w:w="570"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固</w:t>
                  </w:r>
                </w:p>
              </w:tc>
              <w:tc>
                <w:tcPr>
                  <w:tcW w:w="1568"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锂电芯</w:t>
                  </w:r>
                </w:p>
              </w:tc>
              <w:tc>
                <w:tcPr>
                  <w:tcW w:w="85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2.1</w:t>
                  </w:r>
                </w:p>
              </w:tc>
              <w:tc>
                <w:tcPr>
                  <w:tcW w:w="85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71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1627" w:type="dxa"/>
                  <w:vMerge w:val="continue"/>
                  <w:tcBorders>
                    <w:left w:val="single" w:color="000000" w:sz="4" w:space="0"/>
                    <w:right w:val="nil"/>
                  </w:tcBorders>
                  <w:tcMar>
                    <w:top w:w="28" w:type="dxa"/>
                    <w:left w:w="28" w:type="dxa"/>
                    <w:bottom w:w="28" w:type="dxa"/>
                    <w:right w:w="28" w:type="dxa"/>
                  </w:tcMar>
                  <w:vAlign w:val="center"/>
                </w:tcPr>
                <w:p>
                  <w:pPr>
                    <w:pStyle w:val="15"/>
                    <w:kinsoku w:val="0"/>
                    <w:overflowPunct w:val="0"/>
                    <w:spacing w:line="240" w:lineRule="auto"/>
                    <w:ind w:firstLine="420"/>
                    <w:jc w:val="center"/>
                    <w:rPr>
                      <w:rFonts w:ascii="Times New Roman" w:hAnsi="Times New Roman" w:cs="Times New Roman"/>
                      <w:sz w:val="21"/>
                      <w:szCs w:val="21"/>
                    </w:rPr>
                  </w:pPr>
                </w:p>
              </w:tc>
            </w:tr>
            <w:tr>
              <w:tblPrEx>
                <w:tblLayout w:type="fixed"/>
                <w:tblCellMar>
                  <w:top w:w="0" w:type="dxa"/>
                  <w:left w:w="0" w:type="dxa"/>
                  <w:bottom w:w="0" w:type="dxa"/>
                  <w:right w:w="0" w:type="dxa"/>
                </w:tblCellMar>
              </w:tblPrEx>
              <w:trPr>
                <w:trHeight w:val="340" w:hRule="atLeast"/>
                <w:jc w:val="center"/>
              </w:trPr>
              <w:tc>
                <w:tcPr>
                  <w:tcW w:w="381" w:type="dxa"/>
                  <w:tcBorders>
                    <w:top w:val="single" w:color="000000" w:sz="4" w:space="0"/>
                    <w:left w:val="nil"/>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6</w:t>
                  </w:r>
                </w:p>
              </w:tc>
              <w:tc>
                <w:tcPr>
                  <w:tcW w:w="124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废电池</w:t>
                  </w:r>
                </w:p>
              </w:tc>
              <w:tc>
                <w:tcPr>
                  <w:tcW w:w="114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化成检验</w:t>
                  </w:r>
                </w:p>
              </w:tc>
              <w:tc>
                <w:tcPr>
                  <w:tcW w:w="570"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固</w:t>
                  </w:r>
                </w:p>
              </w:tc>
              <w:tc>
                <w:tcPr>
                  <w:tcW w:w="1568"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锂电池</w:t>
                  </w:r>
                </w:p>
              </w:tc>
              <w:tc>
                <w:tcPr>
                  <w:tcW w:w="85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2.8</w:t>
                  </w:r>
                </w:p>
              </w:tc>
              <w:tc>
                <w:tcPr>
                  <w:tcW w:w="85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71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1627" w:type="dxa"/>
                  <w:vMerge w:val="continue"/>
                  <w:tcBorders>
                    <w:left w:val="single" w:color="000000" w:sz="4" w:space="0"/>
                    <w:right w:val="nil"/>
                  </w:tcBorders>
                  <w:tcMar>
                    <w:top w:w="28" w:type="dxa"/>
                    <w:left w:w="28" w:type="dxa"/>
                    <w:bottom w:w="28" w:type="dxa"/>
                    <w:right w:w="28" w:type="dxa"/>
                  </w:tcMar>
                  <w:vAlign w:val="center"/>
                </w:tcPr>
                <w:p>
                  <w:pPr>
                    <w:pStyle w:val="15"/>
                    <w:kinsoku w:val="0"/>
                    <w:overflowPunct w:val="0"/>
                    <w:spacing w:line="240" w:lineRule="auto"/>
                    <w:ind w:firstLine="420"/>
                    <w:jc w:val="center"/>
                    <w:rPr>
                      <w:rFonts w:ascii="Times New Roman" w:hAnsi="Times New Roman" w:cs="Times New Roman"/>
                      <w:sz w:val="21"/>
                      <w:szCs w:val="21"/>
                    </w:rPr>
                  </w:pPr>
                </w:p>
              </w:tc>
            </w:tr>
            <w:tr>
              <w:tblPrEx>
                <w:tblLayout w:type="fixed"/>
                <w:tblCellMar>
                  <w:top w:w="0" w:type="dxa"/>
                  <w:left w:w="0" w:type="dxa"/>
                  <w:bottom w:w="0" w:type="dxa"/>
                  <w:right w:w="0" w:type="dxa"/>
                </w:tblCellMar>
              </w:tblPrEx>
              <w:trPr>
                <w:trHeight w:val="340" w:hRule="atLeast"/>
                <w:jc w:val="center"/>
              </w:trPr>
              <w:tc>
                <w:tcPr>
                  <w:tcW w:w="381" w:type="dxa"/>
                  <w:tcBorders>
                    <w:top w:val="single" w:color="000000" w:sz="4" w:space="0"/>
                    <w:left w:val="nil"/>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7</w:t>
                  </w:r>
                </w:p>
              </w:tc>
              <w:tc>
                <w:tcPr>
                  <w:tcW w:w="124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布袋</w:t>
                  </w:r>
                </w:p>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除尘器收尘</w:t>
                  </w:r>
                </w:p>
              </w:tc>
              <w:tc>
                <w:tcPr>
                  <w:tcW w:w="114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除尘系统</w:t>
                  </w:r>
                </w:p>
              </w:tc>
              <w:tc>
                <w:tcPr>
                  <w:tcW w:w="570"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固</w:t>
                  </w:r>
                </w:p>
              </w:tc>
              <w:tc>
                <w:tcPr>
                  <w:tcW w:w="1568"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石墨、炭黑及其他原料粉末</w:t>
                  </w:r>
                </w:p>
              </w:tc>
              <w:tc>
                <w:tcPr>
                  <w:tcW w:w="85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2.85</w:t>
                  </w:r>
                </w:p>
              </w:tc>
              <w:tc>
                <w:tcPr>
                  <w:tcW w:w="85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71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1627" w:type="dxa"/>
                  <w:vMerge w:val="continue"/>
                  <w:tcBorders>
                    <w:left w:val="single" w:color="000000" w:sz="4" w:space="0"/>
                    <w:right w:val="nil"/>
                  </w:tcBorders>
                  <w:tcMar>
                    <w:top w:w="28" w:type="dxa"/>
                    <w:left w:w="28" w:type="dxa"/>
                    <w:bottom w:w="28" w:type="dxa"/>
                    <w:right w:w="28" w:type="dxa"/>
                  </w:tcMar>
                  <w:vAlign w:val="center"/>
                </w:tcPr>
                <w:p>
                  <w:pPr>
                    <w:pStyle w:val="15"/>
                    <w:kinsoku w:val="0"/>
                    <w:overflowPunct w:val="0"/>
                    <w:spacing w:line="240" w:lineRule="auto"/>
                    <w:ind w:firstLine="420"/>
                    <w:jc w:val="center"/>
                    <w:rPr>
                      <w:rFonts w:ascii="Times New Roman" w:hAnsi="Times New Roman" w:cs="Times New Roman"/>
                      <w:sz w:val="21"/>
                      <w:szCs w:val="21"/>
                    </w:rPr>
                  </w:pPr>
                </w:p>
              </w:tc>
            </w:tr>
            <w:tr>
              <w:tblPrEx>
                <w:tblLayout w:type="fixed"/>
                <w:tblCellMar>
                  <w:top w:w="0" w:type="dxa"/>
                  <w:left w:w="0" w:type="dxa"/>
                  <w:bottom w:w="0" w:type="dxa"/>
                  <w:right w:w="0" w:type="dxa"/>
                </w:tblCellMar>
              </w:tblPrEx>
              <w:trPr>
                <w:trHeight w:val="340" w:hRule="atLeast"/>
                <w:jc w:val="center"/>
              </w:trPr>
              <w:tc>
                <w:tcPr>
                  <w:tcW w:w="381" w:type="dxa"/>
                  <w:tcBorders>
                    <w:top w:val="single" w:color="000000" w:sz="4" w:space="0"/>
                    <w:left w:val="nil"/>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8</w:t>
                  </w:r>
                </w:p>
              </w:tc>
              <w:tc>
                <w:tcPr>
                  <w:tcW w:w="124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废包装桶袋</w:t>
                  </w:r>
                </w:p>
              </w:tc>
              <w:tc>
                <w:tcPr>
                  <w:tcW w:w="114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原料包装</w:t>
                  </w:r>
                </w:p>
              </w:tc>
              <w:tc>
                <w:tcPr>
                  <w:tcW w:w="570"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固</w:t>
                  </w:r>
                </w:p>
              </w:tc>
              <w:tc>
                <w:tcPr>
                  <w:tcW w:w="1568"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铁桶、附着NMP、电解液等</w:t>
                  </w:r>
                </w:p>
              </w:tc>
              <w:tc>
                <w:tcPr>
                  <w:tcW w:w="85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0.5</w:t>
                  </w:r>
                </w:p>
              </w:tc>
              <w:tc>
                <w:tcPr>
                  <w:tcW w:w="85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71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1627" w:type="dxa"/>
                  <w:vMerge w:val="continue"/>
                  <w:tcBorders>
                    <w:left w:val="single" w:color="000000" w:sz="4" w:space="0"/>
                    <w:right w:val="nil"/>
                  </w:tcBorders>
                  <w:tcMar>
                    <w:top w:w="28" w:type="dxa"/>
                    <w:left w:w="28" w:type="dxa"/>
                    <w:bottom w:w="28" w:type="dxa"/>
                    <w:right w:w="28" w:type="dxa"/>
                  </w:tcMar>
                  <w:vAlign w:val="center"/>
                </w:tcPr>
                <w:p>
                  <w:pPr>
                    <w:pStyle w:val="15"/>
                    <w:kinsoku w:val="0"/>
                    <w:overflowPunct w:val="0"/>
                    <w:spacing w:line="240" w:lineRule="auto"/>
                    <w:ind w:firstLine="420"/>
                    <w:jc w:val="center"/>
                    <w:rPr>
                      <w:rFonts w:ascii="Times New Roman" w:hAnsi="Times New Roman" w:cs="Times New Roman"/>
                      <w:sz w:val="21"/>
                      <w:szCs w:val="21"/>
                    </w:rPr>
                  </w:pPr>
                </w:p>
              </w:tc>
            </w:tr>
            <w:tr>
              <w:tblPrEx>
                <w:tblLayout w:type="fixed"/>
                <w:tblCellMar>
                  <w:top w:w="0" w:type="dxa"/>
                  <w:left w:w="0" w:type="dxa"/>
                  <w:bottom w:w="0" w:type="dxa"/>
                  <w:right w:w="0" w:type="dxa"/>
                </w:tblCellMar>
              </w:tblPrEx>
              <w:trPr>
                <w:trHeight w:val="340" w:hRule="atLeast"/>
                <w:jc w:val="center"/>
              </w:trPr>
              <w:tc>
                <w:tcPr>
                  <w:tcW w:w="381" w:type="dxa"/>
                  <w:tcBorders>
                    <w:top w:val="single" w:color="000000" w:sz="4" w:space="0"/>
                    <w:left w:val="nil"/>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9</w:t>
                  </w:r>
                </w:p>
              </w:tc>
              <w:tc>
                <w:tcPr>
                  <w:tcW w:w="124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生活垃圾</w:t>
                  </w:r>
                </w:p>
              </w:tc>
              <w:tc>
                <w:tcPr>
                  <w:tcW w:w="114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职工生活</w:t>
                  </w:r>
                </w:p>
              </w:tc>
              <w:tc>
                <w:tcPr>
                  <w:tcW w:w="570"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固</w:t>
                  </w:r>
                </w:p>
              </w:tc>
              <w:tc>
                <w:tcPr>
                  <w:tcW w:w="1568"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生活垃圾</w:t>
                  </w:r>
                </w:p>
              </w:tc>
              <w:tc>
                <w:tcPr>
                  <w:tcW w:w="85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40</w:t>
                  </w:r>
                </w:p>
              </w:tc>
              <w:tc>
                <w:tcPr>
                  <w:tcW w:w="85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71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1627" w:type="dxa"/>
                  <w:vMerge w:val="continue"/>
                  <w:tcBorders>
                    <w:left w:val="single" w:color="000000" w:sz="4" w:space="0"/>
                    <w:right w:val="nil"/>
                  </w:tcBorders>
                  <w:tcMar>
                    <w:top w:w="28" w:type="dxa"/>
                    <w:left w:w="28" w:type="dxa"/>
                    <w:bottom w:w="28" w:type="dxa"/>
                    <w:right w:w="28" w:type="dxa"/>
                  </w:tcMar>
                  <w:vAlign w:val="center"/>
                </w:tcPr>
                <w:p>
                  <w:pPr>
                    <w:pStyle w:val="15"/>
                    <w:kinsoku w:val="0"/>
                    <w:overflowPunct w:val="0"/>
                    <w:spacing w:line="240" w:lineRule="auto"/>
                    <w:ind w:firstLine="420"/>
                    <w:jc w:val="center"/>
                    <w:rPr>
                      <w:rFonts w:ascii="Times New Roman" w:hAnsi="Times New Roman" w:cs="Times New Roman"/>
                      <w:sz w:val="21"/>
                      <w:szCs w:val="21"/>
                    </w:rPr>
                  </w:pPr>
                </w:p>
              </w:tc>
            </w:tr>
            <w:tr>
              <w:tblPrEx>
                <w:tblLayout w:type="fixed"/>
                <w:tblCellMar>
                  <w:top w:w="0" w:type="dxa"/>
                  <w:left w:w="0" w:type="dxa"/>
                  <w:bottom w:w="0" w:type="dxa"/>
                  <w:right w:w="0" w:type="dxa"/>
                </w:tblCellMar>
              </w:tblPrEx>
              <w:trPr>
                <w:trHeight w:val="340" w:hRule="atLeast"/>
                <w:jc w:val="center"/>
              </w:trPr>
              <w:tc>
                <w:tcPr>
                  <w:tcW w:w="381" w:type="dxa"/>
                  <w:tcBorders>
                    <w:top w:val="single" w:color="000000" w:sz="4" w:space="0"/>
                    <w:left w:val="nil"/>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10</w:t>
                  </w:r>
                </w:p>
              </w:tc>
              <w:tc>
                <w:tcPr>
                  <w:tcW w:w="124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工业污水处理污泥及活性炭</w:t>
                  </w:r>
                </w:p>
              </w:tc>
              <w:tc>
                <w:tcPr>
                  <w:tcW w:w="114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污水处理设施</w:t>
                  </w:r>
                </w:p>
              </w:tc>
              <w:tc>
                <w:tcPr>
                  <w:tcW w:w="570"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固</w:t>
                  </w:r>
                </w:p>
              </w:tc>
              <w:tc>
                <w:tcPr>
                  <w:tcW w:w="1568"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污泥、废活性炭</w:t>
                  </w:r>
                </w:p>
              </w:tc>
              <w:tc>
                <w:tcPr>
                  <w:tcW w:w="85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15</w:t>
                  </w:r>
                </w:p>
              </w:tc>
              <w:tc>
                <w:tcPr>
                  <w:tcW w:w="85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71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1627" w:type="dxa"/>
                  <w:vMerge w:val="continue"/>
                  <w:tcBorders>
                    <w:left w:val="single" w:color="000000" w:sz="4" w:space="0"/>
                    <w:right w:val="nil"/>
                  </w:tcBorders>
                  <w:tcMar>
                    <w:top w:w="28" w:type="dxa"/>
                    <w:left w:w="28" w:type="dxa"/>
                    <w:bottom w:w="28" w:type="dxa"/>
                    <w:right w:w="28" w:type="dxa"/>
                  </w:tcMar>
                  <w:vAlign w:val="center"/>
                </w:tcPr>
                <w:p>
                  <w:pPr>
                    <w:pStyle w:val="15"/>
                    <w:kinsoku w:val="0"/>
                    <w:overflowPunct w:val="0"/>
                    <w:spacing w:line="240" w:lineRule="auto"/>
                    <w:ind w:firstLine="420"/>
                    <w:jc w:val="center"/>
                    <w:rPr>
                      <w:rFonts w:ascii="Times New Roman" w:hAnsi="Times New Roman" w:cs="Times New Roman"/>
                      <w:sz w:val="21"/>
                      <w:szCs w:val="21"/>
                    </w:rPr>
                  </w:pPr>
                </w:p>
              </w:tc>
            </w:tr>
            <w:tr>
              <w:tblPrEx>
                <w:tblLayout w:type="fixed"/>
                <w:tblCellMar>
                  <w:top w:w="0" w:type="dxa"/>
                  <w:left w:w="0" w:type="dxa"/>
                  <w:bottom w:w="0" w:type="dxa"/>
                  <w:right w:w="0" w:type="dxa"/>
                </w:tblCellMar>
              </w:tblPrEx>
              <w:trPr>
                <w:trHeight w:val="340" w:hRule="atLeast"/>
                <w:jc w:val="center"/>
              </w:trPr>
              <w:tc>
                <w:tcPr>
                  <w:tcW w:w="381" w:type="dxa"/>
                  <w:tcBorders>
                    <w:top w:val="single" w:color="000000" w:sz="4" w:space="0"/>
                    <w:left w:val="nil"/>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11</w:t>
                  </w:r>
                </w:p>
              </w:tc>
              <w:tc>
                <w:tcPr>
                  <w:tcW w:w="124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化粪池污泥</w:t>
                  </w:r>
                </w:p>
              </w:tc>
              <w:tc>
                <w:tcPr>
                  <w:tcW w:w="114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生活污水处理</w:t>
                  </w:r>
                </w:p>
              </w:tc>
              <w:tc>
                <w:tcPr>
                  <w:tcW w:w="570"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固</w:t>
                  </w:r>
                </w:p>
              </w:tc>
              <w:tc>
                <w:tcPr>
                  <w:tcW w:w="1568"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污泥</w:t>
                  </w:r>
                </w:p>
              </w:tc>
              <w:tc>
                <w:tcPr>
                  <w:tcW w:w="85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25.5</w:t>
                  </w:r>
                </w:p>
              </w:tc>
              <w:tc>
                <w:tcPr>
                  <w:tcW w:w="85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71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1627" w:type="dxa"/>
                  <w:vMerge w:val="continue"/>
                  <w:tcBorders>
                    <w:left w:val="single" w:color="000000" w:sz="4" w:space="0"/>
                    <w:bottom w:val="single" w:color="000000" w:sz="4" w:space="0"/>
                    <w:right w:val="nil"/>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p>
              </w:tc>
            </w:tr>
          </w:tbl>
          <w:p>
            <w:pPr>
              <w:adjustRightInd w:val="0"/>
              <w:snapToGrid w:val="0"/>
              <w:spacing w:line="440" w:lineRule="exact"/>
              <w:ind w:firstLine="480"/>
              <w:rPr>
                <w:rFonts w:ascii="Times New Roman" w:hAnsi="Times New Roman" w:cs="Times New Roman"/>
              </w:rPr>
            </w:pPr>
            <w:r>
              <w:rPr>
                <w:rFonts w:ascii="Times New Roman" w:hAnsi="Times New Roman" w:cs="Times New Roman"/>
              </w:rPr>
              <w:t>项目固体废物产生情况及属性判断：根据《国家危险废物名录》判定固体废物是否属于危险废物，相关判定结果详见表20。</w:t>
            </w:r>
          </w:p>
          <w:p>
            <w:pPr>
              <w:snapToGrid w:val="0"/>
              <w:spacing w:line="440" w:lineRule="exact"/>
              <w:ind w:firstLine="0" w:firstLineChars="0"/>
              <w:jc w:val="center"/>
              <w:rPr>
                <w:rFonts w:ascii="Times New Roman" w:hAnsi="Times New Roman" w:eastAsia="黑体" w:cs="Times New Roman"/>
                <w:snapToGrid w:val="0"/>
                <w:kern w:val="0"/>
              </w:rPr>
            </w:pPr>
            <w:r>
              <w:rPr>
                <w:rFonts w:ascii="Times New Roman" w:hAnsi="Times New Roman" w:eastAsia="黑体" w:cs="Times New Roman"/>
                <w:snapToGrid w:val="0"/>
                <w:kern w:val="0"/>
              </w:rPr>
              <w:t xml:space="preserve">表20  </w:t>
            </w:r>
            <w:r>
              <w:rPr>
                <w:rFonts w:ascii="Times New Roman" w:hAnsi="Times New Roman" w:eastAsia="黑体" w:cs="Times New Roman"/>
                <w:snapToGrid w:val="0"/>
                <w:kern w:val="0"/>
              </w:rPr>
              <w:tab/>
            </w:r>
            <w:r>
              <w:rPr>
                <w:rFonts w:ascii="Times New Roman" w:hAnsi="Times New Roman" w:eastAsia="黑体" w:cs="Times New Roman"/>
                <w:snapToGrid w:val="0"/>
                <w:kern w:val="0"/>
              </w:rPr>
              <w:t>建设项目固体废弃物分析结果汇总表</w:t>
            </w:r>
          </w:p>
          <w:tbl>
            <w:tblPr>
              <w:tblStyle w:val="11"/>
              <w:tblW w:w="896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8"/>
              <w:gridCol w:w="1037"/>
              <w:gridCol w:w="656"/>
              <w:gridCol w:w="654"/>
              <w:gridCol w:w="461"/>
              <w:gridCol w:w="1414"/>
              <w:gridCol w:w="701"/>
              <w:gridCol w:w="1115"/>
              <w:gridCol w:w="1115"/>
              <w:gridCol w:w="744"/>
              <w:gridCol w:w="79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68"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序号</w:t>
                  </w:r>
                </w:p>
              </w:tc>
              <w:tc>
                <w:tcPr>
                  <w:tcW w:w="1037"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固废</w:t>
                  </w:r>
                </w:p>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名称</w:t>
                  </w:r>
                </w:p>
              </w:tc>
              <w:tc>
                <w:tcPr>
                  <w:tcW w:w="656"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属性</w:t>
                  </w:r>
                </w:p>
              </w:tc>
              <w:tc>
                <w:tcPr>
                  <w:tcW w:w="654"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产生工序</w:t>
                  </w:r>
                </w:p>
              </w:tc>
              <w:tc>
                <w:tcPr>
                  <w:tcW w:w="461"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形态</w:t>
                  </w:r>
                </w:p>
              </w:tc>
              <w:tc>
                <w:tcPr>
                  <w:tcW w:w="1414"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主要成分</w:t>
                  </w:r>
                </w:p>
              </w:tc>
              <w:tc>
                <w:tcPr>
                  <w:tcW w:w="701" w:type="dxa"/>
                  <w:shd w:val="clear" w:color="auto" w:fill="auto"/>
                  <w:tcMar>
                    <w:top w:w="28" w:type="dxa"/>
                    <w:left w:w="28" w:type="dxa"/>
                    <w:bottom w:w="28" w:type="dxa"/>
                    <w:right w:w="28" w:type="dxa"/>
                  </w:tcMar>
                  <w:vAlign w:val="center"/>
                </w:tcPr>
                <w:p>
                  <w:pPr>
                    <w:snapToGri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危险特性鉴别方法</w:t>
                  </w:r>
                </w:p>
              </w:tc>
              <w:tc>
                <w:tcPr>
                  <w:tcW w:w="1115" w:type="dxa"/>
                  <w:shd w:val="clear" w:color="auto" w:fill="auto"/>
                  <w:tcMar>
                    <w:top w:w="28" w:type="dxa"/>
                    <w:left w:w="28" w:type="dxa"/>
                    <w:bottom w:w="28" w:type="dxa"/>
                    <w:right w:w="28" w:type="dxa"/>
                  </w:tcMar>
                  <w:vAlign w:val="center"/>
                </w:tcPr>
                <w:p>
                  <w:pPr>
                    <w:snapToGri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危险</w:t>
                  </w:r>
                </w:p>
                <w:p>
                  <w:pPr>
                    <w:snapToGri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特性</w:t>
                  </w:r>
                </w:p>
              </w:tc>
              <w:tc>
                <w:tcPr>
                  <w:tcW w:w="1115" w:type="dxa"/>
                  <w:shd w:val="clear" w:color="auto" w:fill="auto"/>
                  <w:tcMar>
                    <w:top w:w="28" w:type="dxa"/>
                    <w:left w:w="28" w:type="dxa"/>
                    <w:bottom w:w="28" w:type="dxa"/>
                    <w:right w:w="28" w:type="dxa"/>
                  </w:tcMar>
                  <w:vAlign w:val="center"/>
                </w:tcPr>
                <w:p>
                  <w:pPr>
                    <w:snapToGri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废物</w:t>
                  </w:r>
                </w:p>
                <w:p>
                  <w:pPr>
                    <w:snapToGri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类别</w:t>
                  </w:r>
                </w:p>
              </w:tc>
              <w:tc>
                <w:tcPr>
                  <w:tcW w:w="744" w:type="dxa"/>
                  <w:shd w:val="clear" w:color="auto" w:fill="auto"/>
                  <w:tcMar>
                    <w:top w:w="28" w:type="dxa"/>
                    <w:left w:w="28" w:type="dxa"/>
                    <w:bottom w:w="28" w:type="dxa"/>
                    <w:right w:w="28" w:type="dxa"/>
                  </w:tcMar>
                  <w:vAlign w:val="center"/>
                </w:tcPr>
                <w:p>
                  <w:pPr>
                    <w:snapToGri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废物</w:t>
                  </w:r>
                </w:p>
                <w:p>
                  <w:pPr>
                    <w:snapToGri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代码</w:t>
                  </w:r>
                </w:p>
              </w:tc>
              <w:tc>
                <w:tcPr>
                  <w:tcW w:w="796" w:type="dxa"/>
                  <w:shd w:val="clear" w:color="auto" w:fill="auto"/>
                  <w:tcMar>
                    <w:top w:w="28" w:type="dxa"/>
                    <w:left w:w="28" w:type="dxa"/>
                    <w:bottom w:w="28" w:type="dxa"/>
                    <w:right w:w="28" w:type="dxa"/>
                  </w:tcMar>
                  <w:vAlign w:val="center"/>
                </w:tcPr>
                <w:p>
                  <w:pPr>
                    <w:snapToGri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产生量</w:t>
                  </w:r>
                </w:p>
                <w:p>
                  <w:pPr>
                    <w:snapToGri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（t/a）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68"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w:t>
                  </w:r>
                </w:p>
              </w:tc>
              <w:tc>
                <w:tcPr>
                  <w:tcW w:w="1037"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NMP废液</w:t>
                  </w:r>
                </w:p>
              </w:tc>
              <w:tc>
                <w:tcPr>
                  <w:tcW w:w="656"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危险废物</w:t>
                  </w:r>
                </w:p>
              </w:tc>
              <w:tc>
                <w:tcPr>
                  <w:tcW w:w="654"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筛网清洗</w:t>
                  </w:r>
                </w:p>
              </w:tc>
              <w:tc>
                <w:tcPr>
                  <w:tcW w:w="461"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半固态</w:t>
                  </w:r>
                </w:p>
              </w:tc>
              <w:tc>
                <w:tcPr>
                  <w:tcW w:w="1414"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正、负极活性材料（包括镍）、NMP等</w:t>
                  </w:r>
                </w:p>
              </w:tc>
              <w:tc>
                <w:tcPr>
                  <w:tcW w:w="701" w:type="dxa"/>
                  <w:vMerge w:val="restart"/>
                  <w:shd w:val="clear" w:color="auto" w:fill="auto"/>
                  <w:tcMar>
                    <w:top w:w="28" w:type="dxa"/>
                    <w:left w:w="28" w:type="dxa"/>
                    <w:bottom w:w="28" w:type="dxa"/>
                    <w:right w:w="28" w:type="dxa"/>
                  </w:tcMar>
                  <w:vAlign w:val="center"/>
                </w:tcPr>
                <w:p>
                  <w:pPr>
                    <w:snapToGri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国家危险废物名录</w:t>
                  </w:r>
                </w:p>
              </w:tc>
              <w:tc>
                <w:tcPr>
                  <w:tcW w:w="1115" w:type="dxa"/>
                  <w:shd w:val="clear" w:color="auto" w:fill="auto"/>
                  <w:tcMar>
                    <w:top w:w="28" w:type="dxa"/>
                    <w:left w:w="28" w:type="dxa"/>
                    <w:bottom w:w="28" w:type="dxa"/>
                    <w:right w:w="28" w:type="dxa"/>
                  </w:tcMar>
                  <w:vAlign w:val="center"/>
                </w:tcPr>
                <w:p>
                  <w:pPr>
                    <w:snapToGri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T</w:t>
                  </w:r>
                </w:p>
              </w:tc>
              <w:tc>
                <w:tcPr>
                  <w:tcW w:w="1115" w:type="dxa"/>
                  <w:shd w:val="clear" w:color="auto" w:fill="auto"/>
                  <w:tcMar>
                    <w:top w:w="28" w:type="dxa"/>
                    <w:left w:w="28" w:type="dxa"/>
                    <w:bottom w:w="28" w:type="dxa"/>
                    <w:right w:w="28" w:type="dxa"/>
                  </w:tcMar>
                  <w:vAlign w:val="center"/>
                </w:tcPr>
                <w:p>
                  <w:pPr>
                    <w:snapToGri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394-005-46</w:t>
                  </w:r>
                </w:p>
              </w:tc>
              <w:tc>
                <w:tcPr>
                  <w:tcW w:w="744" w:type="dxa"/>
                  <w:shd w:val="clear" w:color="auto" w:fill="auto"/>
                  <w:tcMar>
                    <w:top w:w="28" w:type="dxa"/>
                    <w:left w:w="28" w:type="dxa"/>
                    <w:bottom w:w="28" w:type="dxa"/>
                    <w:right w:w="28" w:type="dxa"/>
                  </w:tcMar>
                  <w:vAlign w:val="center"/>
                </w:tcPr>
                <w:p>
                  <w:pPr>
                    <w:snapToGri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HW46</w:t>
                  </w:r>
                </w:p>
              </w:tc>
              <w:tc>
                <w:tcPr>
                  <w:tcW w:w="796"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68"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w:t>
                  </w:r>
                </w:p>
              </w:tc>
              <w:tc>
                <w:tcPr>
                  <w:tcW w:w="1037"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废边角料</w:t>
                  </w:r>
                </w:p>
              </w:tc>
              <w:tc>
                <w:tcPr>
                  <w:tcW w:w="656"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一般固废</w:t>
                  </w:r>
                </w:p>
              </w:tc>
              <w:tc>
                <w:tcPr>
                  <w:tcW w:w="654"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极片模切</w:t>
                  </w:r>
                </w:p>
              </w:tc>
              <w:tc>
                <w:tcPr>
                  <w:tcW w:w="461"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固</w:t>
                  </w:r>
                </w:p>
              </w:tc>
              <w:tc>
                <w:tcPr>
                  <w:tcW w:w="1414"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铜、铝箔</w:t>
                  </w:r>
                </w:p>
              </w:tc>
              <w:tc>
                <w:tcPr>
                  <w:tcW w:w="701" w:type="dxa"/>
                  <w:vMerge w:val="continue"/>
                  <w:shd w:val="clear" w:color="auto" w:fill="auto"/>
                  <w:tcMar>
                    <w:top w:w="28" w:type="dxa"/>
                    <w:left w:w="28" w:type="dxa"/>
                    <w:bottom w:w="28" w:type="dxa"/>
                    <w:right w:w="28" w:type="dxa"/>
                  </w:tcMar>
                  <w:vAlign w:val="center"/>
                </w:tcPr>
                <w:p>
                  <w:pPr>
                    <w:snapToGrid w:val="0"/>
                    <w:spacing w:line="240" w:lineRule="auto"/>
                    <w:ind w:firstLine="0" w:firstLineChars="0"/>
                    <w:jc w:val="center"/>
                    <w:rPr>
                      <w:rFonts w:ascii="Times New Roman" w:hAnsi="Times New Roman" w:cs="Times New Roman"/>
                      <w:kern w:val="0"/>
                      <w:sz w:val="21"/>
                      <w:szCs w:val="21"/>
                    </w:rPr>
                  </w:pPr>
                </w:p>
              </w:tc>
              <w:tc>
                <w:tcPr>
                  <w:tcW w:w="1115" w:type="dxa"/>
                  <w:shd w:val="clear" w:color="auto" w:fill="auto"/>
                  <w:tcMar>
                    <w:top w:w="28" w:type="dxa"/>
                    <w:left w:w="28" w:type="dxa"/>
                    <w:bottom w:w="28" w:type="dxa"/>
                    <w:right w:w="28" w:type="dxa"/>
                  </w:tcMar>
                  <w:vAlign w:val="center"/>
                </w:tcPr>
                <w:p>
                  <w:pPr>
                    <w:snapToGri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1115" w:type="dxa"/>
                  <w:shd w:val="clear" w:color="auto" w:fill="auto"/>
                  <w:tcMar>
                    <w:top w:w="28" w:type="dxa"/>
                    <w:left w:w="28" w:type="dxa"/>
                    <w:bottom w:w="28" w:type="dxa"/>
                    <w:right w:w="28" w:type="dxa"/>
                  </w:tcMar>
                  <w:vAlign w:val="center"/>
                </w:tcPr>
                <w:p>
                  <w:pPr>
                    <w:snapToGri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744" w:type="dxa"/>
                  <w:shd w:val="clear" w:color="auto" w:fill="auto"/>
                  <w:tcMar>
                    <w:top w:w="28" w:type="dxa"/>
                    <w:left w:w="28" w:type="dxa"/>
                    <w:bottom w:w="28" w:type="dxa"/>
                    <w:right w:w="28" w:type="dxa"/>
                  </w:tcMar>
                  <w:vAlign w:val="center"/>
                </w:tcPr>
                <w:p>
                  <w:pPr>
                    <w:snapToGri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796"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10.3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68"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3</w:t>
                  </w:r>
                </w:p>
              </w:tc>
              <w:tc>
                <w:tcPr>
                  <w:tcW w:w="1037"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废隔膜</w:t>
                  </w:r>
                </w:p>
              </w:tc>
              <w:tc>
                <w:tcPr>
                  <w:tcW w:w="656"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一般固废</w:t>
                  </w:r>
                </w:p>
              </w:tc>
              <w:tc>
                <w:tcPr>
                  <w:tcW w:w="654"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卷绕</w:t>
                  </w:r>
                </w:p>
              </w:tc>
              <w:tc>
                <w:tcPr>
                  <w:tcW w:w="461"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固</w:t>
                  </w:r>
                </w:p>
              </w:tc>
              <w:tc>
                <w:tcPr>
                  <w:tcW w:w="1414"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铜隔膜</w:t>
                  </w:r>
                </w:p>
              </w:tc>
              <w:tc>
                <w:tcPr>
                  <w:tcW w:w="701" w:type="dxa"/>
                  <w:vMerge w:val="continue"/>
                  <w:shd w:val="clear" w:color="auto" w:fill="auto"/>
                  <w:tcMar>
                    <w:top w:w="28" w:type="dxa"/>
                    <w:left w:w="28" w:type="dxa"/>
                    <w:bottom w:w="28" w:type="dxa"/>
                    <w:right w:w="28" w:type="dxa"/>
                  </w:tcMar>
                  <w:vAlign w:val="center"/>
                </w:tcPr>
                <w:p>
                  <w:pPr>
                    <w:snapToGrid w:val="0"/>
                    <w:spacing w:line="240" w:lineRule="auto"/>
                    <w:ind w:firstLine="0" w:firstLineChars="0"/>
                    <w:jc w:val="center"/>
                    <w:rPr>
                      <w:rFonts w:ascii="Times New Roman" w:hAnsi="Times New Roman" w:cs="Times New Roman"/>
                      <w:kern w:val="0"/>
                      <w:sz w:val="21"/>
                      <w:szCs w:val="21"/>
                    </w:rPr>
                  </w:pPr>
                </w:p>
              </w:tc>
              <w:tc>
                <w:tcPr>
                  <w:tcW w:w="1115"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1115"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744"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796"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68"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4</w:t>
                  </w:r>
                </w:p>
              </w:tc>
              <w:tc>
                <w:tcPr>
                  <w:tcW w:w="1037"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不合格</w:t>
                  </w:r>
                </w:p>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辅料</w:t>
                  </w:r>
                </w:p>
              </w:tc>
              <w:tc>
                <w:tcPr>
                  <w:tcW w:w="656"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一般固废</w:t>
                  </w:r>
                </w:p>
              </w:tc>
              <w:tc>
                <w:tcPr>
                  <w:tcW w:w="654"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原料检验</w:t>
                  </w:r>
                </w:p>
              </w:tc>
              <w:tc>
                <w:tcPr>
                  <w:tcW w:w="461"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固</w:t>
                  </w:r>
                </w:p>
              </w:tc>
              <w:tc>
                <w:tcPr>
                  <w:tcW w:w="1414"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废极柱、</w:t>
                  </w:r>
                </w:p>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连接片等</w:t>
                  </w:r>
                </w:p>
              </w:tc>
              <w:tc>
                <w:tcPr>
                  <w:tcW w:w="701" w:type="dxa"/>
                  <w:vMerge w:val="continue"/>
                  <w:shd w:val="clear" w:color="auto" w:fill="auto"/>
                  <w:tcMar>
                    <w:top w:w="28" w:type="dxa"/>
                    <w:left w:w="28" w:type="dxa"/>
                    <w:bottom w:w="28" w:type="dxa"/>
                    <w:right w:w="28" w:type="dxa"/>
                  </w:tcMar>
                  <w:vAlign w:val="center"/>
                </w:tcPr>
                <w:p>
                  <w:pPr>
                    <w:snapToGrid w:val="0"/>
                    <w:spacing w:line="240" w:lineRule="auto"/>
                    <w:ind w:firstLine="0" w:firstLineChars="0"/>
                    <w:jc w:val="center"/>
                    <w:rPr>
                      <w:rFonts w:ascii="Times New Roman" w:hAnsi="Times New Roman" w:cs="Times New Roman"/>
                      <w:kern w:val="0"/>
                      <w:sz w:val="21"/>
                      <w:szCs w:val="21"/>
                    </w:rPr>
                  </w:pPr>
                </w:p>
              </w:tc>
              <w:tc>
                <w:tcPr>
                  <w:tcW w:w="1115"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1115"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744"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796"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0.16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68"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5</w:t>
                  </w:r>
                </w:p>
              </w:tc>
              <w:tc>
                <w:tcPr>
                  <w:tcW w:w="1037"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不合格</w:t>
                  </w:r>
                </w:p>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电芯</w:t>
                  </w:r>
                </w:p>
              </w:tc>
              <w:tc>
                <w:tcPr>
                  <w:tcW w:w="656"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一般固废</w:t>
                  </w:r>
                </w:p>
              </w:tc>
              <w:tc>
                <w:tcPr>
                  <w:tcW w:w="654"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检漏</w:t>
                  </w:r>
                </w:p>
              </w:tc>
              <w:tc>
                <w:tcPr>
                  <w:tcW w:w="461"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固</w:t>
                  </w:r>
                </w:p>
              </w:tc>
              <w:tc>
                <w:tcPr>
                  <w:tcW w:w="1414"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锂电芯</w:t>
                  </w:r>
                </w:p>
              </w:tc>
              <w:tc>
                <w:tcPr>
                  <w:tcW w:w="701" w:type="dxa"/>
                  <w:vMerge w:val="continue"/>
                  <w:shd w:val="clear" w:color="auto" w:fill="auto"/>
                  <w:tcMar>
                    <w:top w:w="28" w:type="dxa"/>
                    <w:left w:w="28" w:type="dxa"/>
                    <w:bottom w:w="28" w:type="dxa"/>
                    <w:right w:w="28" w:type="dxa"/>
                  </w:tcMar>
                  <w:vAlign w:val="center"/>
                </w:tcPr>
                <w:p>
                  <w:pPr>
                    <w:snapToGrid w:val="0"/>
                    <w:spacing w:line="240" w:lineRule="auto"/>
                    <w:ind w:firstLine="0" w:firstLineChars="0"/>
                    <w:jc w:val="center"/>
                    <w:rPr>
                      <w:rFonts w:ascii="Times New Roman" w:hAnsi="Times New Roman" w:cs="Times New Roman"/>
                      <w:kern w:val="0"/>
                      <w:sz w:val="21"/>
                      <w:szCs w:val="21"/>
                    </w:rPr>
                  </w:pPr>
                </w:p>
              </w:tc>
              <w:tc>
                <w:tcPr>
                  <w:tcW w:w="1115"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1115"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744"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796"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68"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6</w:t>
                  </w:r>
                </w:p>
              </w:tc>
              <w:tc>
                <w:tcPr>
                  <w:tcW w:w="1037"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废电池</w:t>
                  </w:r>
                </w:p>
              </w:tc>
              <w:tc>
                <w:tcPr>
                  <w:tcW w:w="656"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一般固废</w:t>
                  </w:r>
                </w:p>
              </w:tc>
              <w:tc>
                <w:tcPr>
                  <w:tcW w:w="654"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化成检验</w:t>
                  </w:r>
                </w:p>
              </w:tc>
              <w:tc>
                <w:tcPr>
                  <w:tcW w:w="461"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固</w:t>
                  </w:r>
                </w:p>
              </w:tc>
              <w:tc>
                <w:tcPr>
                  <w:tcW w:w="1414"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锂电池</w:t>
                  </w:r>
                </w:p>
              </w:tc>
              <w:tc>
                <w:tcPr>
                  <w:tcW w:w="701" w:type="dxa"/>
                  <w:vMerge w:val="continue"/>
                  <w:shd w:val="clear" w:color="auto" w:fill="auto"/>
                  <w:tcMar>
                    <w:top w:w="28" w:type="dxa"/>
                    <w:left w:w="28" w:type="dxa"/>
                    <w:bottom w:w="28" w:type="dxa"/>
                    <w:right w:w="28" w:type="dxa"/>
                  </w:tcMar>
                  <w:vAlign w:val="center"/>
                </w:tcPr>
                <w:p>
                  <w:pPr>
                    <w:snapToGrid w:val="0"/>
                    <w:spacing w:line="240" w:lineRule="auto"/>
                    <w:ind w:firstLine="0" w:firstLineChars="0"/>
                    <w:jc w:val="center"/>
                    <w:rPr>
                      <w:rFonts w:ascii="Times New Roman" w:hAnsi="Times New Roman" w:cs="Times New Roman"/>
                      <w:kern w:val="0"/>
                      <w:sz w:val="21"/>
                      <w:szCs w:val="21"/>
                    </w:rPr>
                  </w:pPr>
                </w:p>
              </w:tc>
              <w:tc>
                <w:tcPr>
                  <w:tcW w:w="1115"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1115"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744"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796"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68"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7</w:t>
                  </w:r>
                </w:p>
              </w:tc>
              <w:tc>
                <w:tcPr>
                  <w:tcW w:w="1037"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布袋除尘器收尘</w:t>
                  </w:r>
                </w:p>
              </w:tc>
              <w:tc>
                <w:tcPr>
                  <w:tcW w:w="656"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一般固废</w:t>
                  </w:r>
                </w:p>
              </w:tc>
              <w:tc>
                <w:tcPr>
                  <w:tcW w:w="654"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除尘系统</w:t>
                  </w:r>
                </w:p>
              </w:tc>
              <w:tc>
                <w:tcPr>
                  <w:tcW w:w="461"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固</w:t>
                  </w:r>
                </w:p>
              </w:tc>
              <w:tc>
                <w:tcPr>
                  <w:tcW w:w="1414"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石墨、炭黑及其他原料粉末</w:t>
                  </w:r>
                </w:p>
              </w:tc>
              <w:tc>
                <w:tcPr>
                  <w:tcW w:w="701" w:type="dxa"/>
                  <w:vMerge w:val="continue"/>
                  <w:shd w:val="clear" w:color="auto" w:fill="auto"/>
                  <w:tcMar>
                    <w:top w:w="28" w:type="dxa"/>
                    <w:left w:w="28" w:type="dxa"/>
                    <w:bottom w:w="28" w:type="dxa"/>
                    <w:right w:w="28" w:type="dxa"/>
                  </w:tcMar>
                  <w:vAlign w:val="center"/>
                </w:tcPr>
                <w:p>
                  <w:pPr>
                    <w:snapToGrid w:val="0"/>
                    <w:spacing w:line="240" w:lineRule="auto"/>
                    <w:ind w:firstLine="0" w:firstLineChars="0"/>
                    <w:jc w:val="center"/>
                    <w:rPr>
                      <w:rFonts w:ascii="Times New Roman" w:hAnsi="Times New Roman" w:cs="Times New Roman"/>
                      <w:kern w:val="0"/>
                      <w:sz w:val="21"/>
                      <w:szCs w:val="21"/>
                    </w:rPr>
                  </w:pPr>
                </w:p>
              </w:tc>
              <w:tc>
                <w:tcPr>
                  <w:tcW w:w="1115"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1115"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744"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796"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2.85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68"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8</w:t>
                  </w:r>
                </w:p>
              </w:tc>
              <w:tc>
                <w:tcPr>
                  <w:tcW w:w="1037"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废包</w:t>
                  </w:r>
                </w:p>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装桶袋</w:t>
                  </w:r>
                </w:p>
              </w:tc>
              <w:tc>
                <w:tcPr>
                  <w:tcW w:w="656"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危险废物</w:t>
                  </w:r>
                </w:p>
              </w:tc>
              <w:tc>
                <w:tcPr>
                  <w:tcW w:w="654"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原料包装</w:t>
                  </w:r>
                </w:p>
              </w:tc>
              <w:tc>
                <w:tcPr>
                  <w:tcW w:w="461"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固</w:t>
                  </w:r>
                </w:p>
              </w:tc>
              <w:tc>
                <w:tcPr>
                  <w:tcW w:w="1414"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铁桶、附着</w:t>
                  </w:r>
                </w:p>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NMP、电解液等</w:t>
                  </w:r>
                </w:p>
              </w:tc>
              <w:tc>
                <w:tcPr>
                  <w:tcW w:w="701" w:type="dxa"/>
                  <w:vMerge w:val="continue"/>
                  <w:shd w:val="clear" w:color="auto" w:fill="auto"/>
                  <w:tcMar>
                    <w:top w:w="28" w:type="dxa"/>
                    <w:left w:w="28" w:type="dxa"/>
                    <w:bottom w:w="28" w:type="dxa"/>
                    <w:right w:w="28" w:type="dxa"/>
                  </w:tcMar>
                  <w:vAlign w:val="center"/>
                </w:tcPr>
                <w:p>
                  <w:pPr>
                    <w:snapToGrid w:val="0"/>
                    <w:spacing w:line="240" w:lineRule="auto"/>
                    <w:ind w:firstLine="0" w:firstLineChars="0"/>
                    <w:jc w:val="center"/>
                    <w:rPr>
                      <w:rFonts w:ascii="Times New Roman" w:hAnsi="Times New Roman" w:cs="Times New Roman"/>
                      <w:kern w:val="0"/>
                      <w:sz w:val="21"/>
                      <w:szCs w:val="21"/>
                    </w:rPr>
                  </w:pPr>
                </w:p>
              </w:tc>
              <w:tc>
                <w:tcPr>
                  <w:tcW w:w="1115" w:type="dxa"/>
                  <w:shd w:val="clear" w:color="auto" w:fill="auto"/>
                  <w:tcMar>
                    <w:top w:w="28" w:type="dxa"/>
                    <w:left w:w="28" w:type="dxa"/>
                    <w:bottom w:w="28" w:type="dxa"/>
                    <w:right w:w="28" w:type="dxa"/>
                  </w:tcMar>
                  <w:vAlign w:val="center"/>
                </w:tcPr>
                <w:p>
                  <w:pPr>
                    <w:snapToGri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T/C/In/I/R</w:t>
                  </w:r>
                </w:p>
              </w:tc>
              <w:tc>
                <w:tcPr>
                  <w:tcW w:w="1115" w:type="dxa"/>
                  <w:shd w:val="clear" w:color="auto" w:fill="auto"/>
                  <w:tcMar>
                    <w:top w:w="28" w:type="dxa"/>
                    <w:left w:w="28" w:type="dxa"/>
                    <w:bottom w:w="28" w:type="dxa"/>
                    <w:right w:w="28" w:type="dxa"/>
                  </w:tcMar>
                  <w:vAlign w:val="center"/>
                </w:tcPr>
                <w:p>
                  <w:pPr>
                    <w:snapToGri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900-041-49</w:t>
                  </w:r>
                </w:p>
              </w:tc>
              <w:tc>
                <w:tcPr>
                  <w:tcW w:w="744" w:type="dxa"/>
                  <w:shd w:val="clear" w:color="auto" w:fill="auto"/>
                  <w:tcMar>
                    <w:top w:w="28" w:type="dxa"/>
                    <w:left w:w="28" w:type="dxa"/>
                    <w:bottom w:w="28" w:type="dxa"/>
                    <w:right w:w="28" w:type="dxa"/>
                  </w:tcMar>
                  <w:vAlign w:val="center"/>
                </w:tcPr>
                <w:p>
                  <w:pPr>
                    <w:snapToGri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HW49</w:t>
                  </w:r>
                </w:p>
              </w:tc>
              <w:tc>
                <w:tcPr>
                  <w:tcW w:w="796"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68"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9</w:t>
                  </w:r>
                </w:p>
              </w:tc>
              <w:tc>
                <w:tcPr>
                  <w:tcW w:w="1037"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生活垃圾</w:t>
                  </w:r>
                </w:p>
              </w:tc>
              <w:tc>
                <w:tcPr>
                  <w:tcW w:w="656"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一般固废</w:t>
                  </w:r>
                </w:p>
              </w:tc>
              <w:tc>
                <w:tcPr>
                  <w:tcW w:w="654"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职工生活</w:t>
                  </w:r>
                </w:p>
              </w:tc>
              <w:tc>
                <w:tcPr>
                  <w:tcW w:w="461"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固</w:t>
                  </w:r>
                </w:p>
              </w:tc>
              <w:tc>
                <w:tcPr>
                  <w:tcW w:w="1414"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生活垃圾</w:t>
                  </w:r>
                </w:p>
              </w:tc>
              <w:tc>
                <w:tcPr>
                  <w:tcW w:w="701" w:type="dxa"/>
                  <w:vMerge w:val="continue"/>
                  <w:shd w:val="clear" w:color="auto" w:fill="auto"/>
                  <w:tcMar>
                    <w:top w:w="28" w:type="dxa"/>
                    <w:left w:w="28" w:type="dxa"/>
                    <w:bottom w:w="28" w:type="dxa"/>
                    <w:right w:w="28" w:type="dxa"/>
                  </w:tcMar>
                  <w:vAlign w:val="center"/>
                </w:tcPr>
                <w:p>
                  <w:pPr>
                    <w:snapToGrid w:val="0"/>
                    <w:spacing w:line="240" w:lineRule="auto"/>
                    <w:ind w:firstLine="0" w:firstLineChars="0"/>
                    <w:jc w:val="center"/>
                    <w:rPr>
                      <w:rFonts w:ascii="Times New Roman" w:hAnsi="Times New Roman" w:cs="Times New Roman"/>
                      <w:kern w:val="0"/>
                      <w:sz w:val="21"/>
                      <w:szCs w:val="21"/>
                    </w:rPr>
                  </w:pPr>
                </w:p>
              </w:tc>
              <w:tc>
                <w:tcPr>
                  <w:tcW w:w="1115"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1115" w:type="dxa"/>
                  <w:shd w:val="clear" w:color="auto" w:fill="auto"/>
                  <w:tcMar>
                    <w:top w:w="28" w:type="dxa"/>
                    <w:left w:w="28" w:type="dxa"/>
                    <w:bottom w:w="28" w:type="dxa"/>
                    <w:right w:w="28" w:type="dxa"/>
                  </w:tcMar>
                  <w:vAlign w:val="center"/>
                </w:tcPr>
                <w:p>
                  <w:pPr>
                    <w:snapToGri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744" w:type="dxa"/>
                  <w:shd w:val="clear" w:color="auto" w:fill="auto"/>
                  <w:tcMar>
                    <w:top w:w="28" w:type="dxa"/>
                    <w:left w:w="28" w:type="dxa"/>
                    <w:bottom w:w="28" w:type="dxa"/>
                    <w:right w:w="28" w:type="dxa"/>
                  </w:tcMar>
                  <w:vAlign w:val="center"/>
                </w:tcPr>
                <w:p>
                  <w:pPr>
                    <w:snapToGri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796"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160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68"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10</w:t>
                  </w:r>
                </w:p>
              </w:tc>
              <w:tc>
                <w:tcPr>
                  <w:tcW w:w="1037"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工业污水处理污泥及活性炭</w:t>
                  </w:r>
                </w:p>
              </w:tc>
              <w:tc>
                <w:tcPr>
                  <w:tcW w:w="656"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一般固废</w:t>
                  </w:r>
                </w:p>
              </w:tc>
              <w:tc>
                <w:tcPr>
                  <w:tcW w:w="654"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污水处理设施</w:t>
                  </w:r>
                </w:p>
              </w:tc>
              <w:tc>
                <w:tcPr>
                  <w:tcW w:w="461"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固</w:t>
                  </w:r>
                </w:p>
              </w:tc>
              <w:tc>
                <w:tcPr>
                  <w:tcW w:w="1414"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污泥</w:t>
                  </w:r>
                </w:p>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废活性炭</w:t>
                  </w:r>
                </w:p>
              </w:tc>
              <w:tc>
                <w:tcPr>
                  <w:tcW w:w="701" w:type="dxa"/>
                  <w:vMerge w:val="continue"/>
                  <w:shd w:val="clear" w:color="auto" w:fill="auto"/>
                  <w:tcMar>
                    <w:top w:w="28" w:type="dxa"/>
                    <w:left w:w="28" w:type="dxa"/>
                    <w:bottom w:w="28" w:type="dxa"/>
                    <w:right w:w="28" w:type="dxa"/>
                  </w:tcMar>
                  <w:vAlign w:val="center"/>
                </w:tcPr>
                <w:p>
                  <w:pPr>
                    <w:snapToGrid w:val="0"/>
                    <w:spacing w:line="240" w:lineRule="auto"/>
                    <w:ind w:firstLine="0" w:firstLineChars="0"/>
                    <w:jc w:val="center"/>
                    <w:rPr>
                      <w:rFonts w:ascii="Times New Roman" w:hAnsi="Times New Roman" w:cs="Times New Roman"/>
                      <w:kern w:val="0"/>
                      <w:sz w:val="21"/>
                      <w:szCs w:val="21"/>
                    </w:rPr>
                  </w:pPr>
                </w:p>
              </w:tc>
              <w:tc>
                <w:tcPr>
                  <w:tcW w:w="1115"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1115"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744"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796"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68"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11</w:t>
                  </w:r>
                </w:p>
              </w:tc>
              <w:tc>
                <w:tcPr>
                  <w:tcW w:w="1037"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化粪池</w:t>
                  </w:r>
                </w:p>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污泥</w:t>
                  </w:r>
                </w:p>
              </w:tc>
              <w:tc>
                <w:tcPr>
                  <w:tcW w:w="656"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一般固废</w:t>
                  </w:r>
                </w:p>
              </w:tc>
              <w:tc>
                <w:tcPr>
                  <w:tcW w:w="654"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生活污水处理</w:t>
                  </w:r>
                </w:p>
              </w:tc>
              <w:tc>
                <w:tcPr>
                  <w:tcW w:w="461"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固</w:t>
                  </w:r>
                </w:p>
              </w:tc>
              <w:tc>
                <w:tcPr>
                  <w:tcW w:w="1414"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污泥</w:t>
                  </w:r>
                </w:p>
              </w:tc>
              <w:tc>
                <w:tcPr>
                  <w:tcW w:w="701" w:type="dxa"/>
                  <w:vMerge w:val="continue"/>
                  <w:shd w:val="clear" w:color="auto" w:fill="auto"/>
                  <w:tcMar>
                    <w:top w:w="28" w:type="dxa"/>
                    <w:left w:w="28" w:type="dxa"/>
                    <w:bottom w:w="28" w:type="dxa"/>
                    <w:right w:w="28" w:type="dxa"/>
                  </w:tcMar>
                  <w:vAlign w:val="center"/>
                </w:tcPr>
                <w:p>
                  <w:pPr>
                    <w:snapToGrid w:val="0"/>
                    <w:spacing w:line="240" w:lineRule="auto"/>
                    <w:ind w:firstLine="0" w:firstLineChars="0"/>
                    <w:jc w:val="center"/>
                    <w:rPr>
                      <w:rFonts w:ascii="Times New Roman" w:hAnsi="Times New Roman" w:cs="Times New Roman"/>
                      <w:kern w:val="0"/>
                      <w:sz w:val="21"/>
                      <w:szCs w:val="21"/>
                    </w:rPr>
                  </w:pPr>
                </w:p>
              </w:tc>
              <w:tc>
                <w:tcPr>
                  <w:tcW w:w="1115"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1115"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744" w:type="dxa"/>
                  <w:shd w:val="clear" w:color="auto" w:fill="auto"/>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796" w:type="dxa"/>
                  <w:shd w:val="clear" w:color="auto" w:fill="auto"/>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25.5</w:t>
                  </w:r>
                </w:p>
              </w:tc>
            </w:tr>
          </w:tbl>
          <w:p>
            <w:pPr>
              <w:adjustRightInd w:val="0"/>
              <w:snapToGrid w:val="0"/>
              <w:spacing w:line="440" w:lineRule="exact"/>
              <w:ind w:firstLine="480"/>
              <w:rPr>
                <w:rFonts w:ascii="Times New Roman" w:hAnsi="Times New Roman" w:cs="Times New Roman"/>
              </w:rPr>
            </w:pPr>
            <w:r>
              <w:rPr>
                <w:rFonts w:ascii="Times New Roman" w:hAnsi="Times New Roman" w:cs="Times New Roman"/>
              </w:rPr>
              <w:t>项目产生的工业固废按如下方式处理处置：</w:t>
            </w:r>
          </w:p>
          <w:p>
            <w:pPr>
              <w:adjustRightInd w:val="0"/>
              <w:snapToGrid w:val="0"/>
              <w:spacing w:line="440" w:lineRule="exact"/>
              <w:ind w:firstLine="480"/>
              <w:rPr>
                <w:rFonts w:ascii="Times New Roman" w:hAnsi="Times New Roman" w:cs="Times New Roman"/>
              </w:rPr>
            </w:pPr>
            <w:r>
              <w:rPr>
                <w:rFonts w:ascii="Times New Roman" w:hAnsi="Times New Roman" w:cs="Times New Roman"/>
              </w:rPr>
              <w:t>一般工业固体废物：废边角料出售给专门的单位回收利用；卷绕过程产生废隔膜出售给专门的单位回收利用；不合格电芯、不合格电池出售给专门的单位回收利用；不合格辅料出售处置；布袋除尘器收集的粉尘可作为原料再利用；生活垃圾委托环卫部门定期清运；废水处理污泥及废活性炭由环卫部门定期清运；化粪池污泥量按0.4L/(人·天)计，则全厂估算其污泥总量约为25.5t/a，由环卫部门定期清运。</w:t>
            </w:r>
          </w:p>
          <w:p>
            <w:pPr>
              <w:adjustRightInd w:val="0"/>
              <w:snapToGrid w:val="0"/>
              <w:spacing w:line="440" w:lineRule="exact"/>
              <w:ind w:firstLine="480"/>
              <w:rPr>
                <w:rFonts w:ascii="Times New Roman" w:hAnsi="Times New Roman" w:cs="Times New Roman"/>
              </w:rPr>
            </w:pPr>
            <w:r>
              <w:rPr>
                <w:rFonts w:ascii="Times New Roman" w:hAnsi="Times New Roman" w:cs="Times New Roman"/>
              </w:rPr>
              <w:t>危险废物：NMP废液（含正、负极活性材料（包括镍）、NMP等成分）属于HW46危险废物，委托给有相应处理资质的单位处理；废包装桶袋，电解液用1000kg桶装，正极粘结剂（PVDF）、正极粘结剂（丁苯橡胶、羧甲基纤维素钠）用25kg双层袋装，这些原料的包装桶袋在使用后会粘附一定的所装原料。根据《关于用于原始用途的含有或直接沾染危险废物的包装物、容器是否属于危险废物问题的复函》（环函【2014】126），废弃危险化学品包装桶不属于危险废物，但需要按危险废物的有关规定和要求进行贮存、运输等。原料的包装桶袋委托原料厂商回收利用，部分因破损不能回收利用的废包装桶袋属于HW49危险废物，产生总量为0.5t/a，委托有资质的单位处置，固体废物产生及处置情况见表21，危险废物汇总详见表22。</w:t>
            </w:r>
          </w:p>
          <w:p>
            <w:pPr>
              <w:snapToGrid w:val="0"/>
              <w:spacing w:line="440" w:lineRule="exact"/>
              <w:ind w:firstLine="0" w:firstLineChars="0"/>
              <w:jc w:val="center"/>
              <w:rPr>
                <w:rFonts w:ascii="Times New Roman" w:hAnsi="Times New Roman" w:eastAsia="黑体" w:cs="Times New Roman"/>
                <w:snapToGrid w:val="0"/>
                <w:kern w:val="0"/>
              </w:rPr>
            </w:pPr>
            <w:r>
              <w:rPr>
                <w:rFonts w:ascii="Times New Roman" w:hAnsi="Times New Roman" w:eastAsia="黑体" w:cs="Times New Roman"/>
                <w:snapToGrid w:val="0"/>
                <w:kern w:val="0"/>
              </w:rPr>
              <w:t>表21  固废产生及治理情况</w:t>
            </w:r>
          </w:p>
          <w:tbl>
            <w:tblPr>
              <w:tblStyle w:val="11"/>
              <w:tblW w:w="8961" w:type="dxa"/>
              <w:jc w:val="center"/>
              <w:tblInd w:w="0" w:type="dxa"/>
              <w:tblLayout w:type="fixed"/>
              <w:tblCellMar>
                <w:top w:w="0" w:type="dxa"/>
                <w:left w:w="0" w:type="dxa"/>
                <w:bottom w:w="0" w:type="dxa"/>
                <w:right w:w="0" w:type="dxa"/>
              </w:tblCellMar>
            </w:tblPr>
            <w:tblGrid>
              <w:gridCol w:w="983"/>
              <w:gridCol w:w="1338"/>
              <w:gridCol w:w="686"/>
              <w:gridCol w:w="1189"/>
              <w:gridCol w:w="1189"/>
              <w:gridCol w:w="1339"/>
              <w:gridCol w:w="2237"/>
            </w:tblGrid>
            <w:tr>
              <w:tblPrEx>
                <w:tblLayout w:type="fixed"/>
                <w:tblCellMar>
                  <w:top w:w="0" w:type="dxa"/>
                  <w:left w:w="0" w:type="dxa"/>
                  <w:bottom w:w="0" w:type="dxa"/>
                  <w:right w:w="0" w:type="dxa"/>
                </w:tblCellMar>
              </w:tblPrEx>
              <w:trPr>
                <w:trHeight w:val="340" w:hRule="atLeast"/>
                <w:jc w:val="center"/>
              </w:trPr>
              <w:tc>
                <w:tcPr>
                  <w:tcW w:w="983" w:type="dxa"/>
                  <w:tcBorders>
                    <w:top w:val="single" w:color="000000" w:sz="8" w:space="0"/>
                    <w:left w:val="nil"/>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序 号</w:t>
                  </w:r>
                </w:p>
              </w:tc>
              <w:tc>
                <w:tcPr>
                  <w:tcW w:w="1338" w:type="dxa"/>
                  <w:tcBorders>
                    <w:top w:val="single" w:color="000000" w:sz="8"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固废名称</w:t>
                  </w:r>
                </w:p>
              </w:tc>
              <w:tc>
                <w:tcPr>
                  <w:tcW w:w="686" w:type="dxa"/>
                  <w:tcBorders>
                    <w:top w:val="single" w:color="000000" w:sz="8"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分类编号</w:t>
                  </w:r>
                </w:p>
              </w:tc>
              <w:tc>
                <w:tcPr>
                  <w:tcW w:w="1189" w:type="dxa"/>
                  <w:tcBorders>
                    <w:top w:val="single" w:color="000000" w:sz="8"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项目产生量</w:t>
                  </w:r>
                </w:p>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（t/a）</w:t>
                  </w:r>
                </w:p>
              </w:tc>
              <w:tc>
                <w:tcPr>
                  <w:tcW w:w="1189" w:type="dxa"/>
                  <w:tcBorders>
                    <w:top w:val="single" w:color="000000" w:sz="8"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处置量</w:t>
                  </w:r>
                </w:p>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（t/a）</w:t>
                  </w:r>
                </w:p>
              </w:tc>
              <w:tc>
                <w:tcPr>
                  <w:tcW w:w="1339" w:type="dxa"/>
                  <w:tcBorders>
                    <w:top w:val="single" w:color="000000" w:sz="8"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排放量</w:t>
                  </w:r>
                </w:p>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（t/a）</w:t>
                  </w:r>
                </w:p>
              </w:tc>
              <w:tc>
                <w:tcPr>
                  <w:tcW w:w="2237" w:type="dxa"/>
                  <w:tcBorders>
                    <w:top w:val="single" w:color="000000" w:sz="8" w:space="0"/>
                    <w:left w:val="single" w:color="000000" w:sz="4" w:space="0"/>
                    <w:bottom w:val="single" w:color="000000" w:sz="4" w:space="0"/>
                    <w:right w:val="nil"/>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处置方式</w:t>
                  </w:r>
                </w:p>
              </w:tc>
            </w:tr>
            <w:tr>
              <w:tblPrEx>
                <w:tblLayout w:type="fixed"/>
                <w:tblCellMar>
                  <w:top w:w="0" w:type="dxa"/>
                  <w:left w:w="0" w:type="dxa"/>
                  <w:bottom w:w="0" w:type="dxa"/>
                  <w:right w:w="0" w:type="dxa"/>
                </w:tblCellMar>
              </w:tblPrEx>
              <w:trPr>
                <w:trHeight w:val="340" w:hRule="atLeast"/>
                <w:jc w:val="center"/>
              </w:trPr>
              <w:tc>
                <w:tcPr>
                  <w:tcW w:w="983" w:type="dxa"/>
                  <w:tcBorders>
                    <w:top w:val="single" w:color="000000" w:sz="4" w:space="0"/>
                    <w:left w:val="nil"/>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w:t>
                  </w:r>
                </w:p>
              </w:tc>
              <w:tc>
                <w:tcPr>
                  <w:tcW w:w="1338"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NMP废液</w:t>
                  </w:r>
                </w:p>
              </w:tc>
              <w:tc>
                <w:tcPr>
                  <w:tcW w:w="68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HW46</w:t>
                  </w:r>
                </w:p>
              </w:tc>
              <w:tc>
                <w:tcPr>
                  <w:tcW w:w="118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10</w:t>
                  </w:r>
                </w:p>
              </w:tc>
              <w:tc>
                <w:tcPr>
                  <w:tcW w:w="118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10</w:t>
                  </w:r>
                </w:p>
              </w:tc>
              <w:tc>
                <w:tcPr>
                  <w:tcW w:w="133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w:t>
                  </w:r>
                </w:p>
              </w:tc>
              <w:tc>
                <w:tcPr>
                  <w:tcW w:w="2237" w:type="dxa"/>
                  <w:tcBorders>
                    <w:top w:val="single" w:color="000000" w:sz="4" w:space="0"/>
                    <w:left w:val="single" w:color="000000" w:sz="4" w:space="0"/>
                    <w:bottom w:val="single" w:color="000000" w:sz="4" w:space="0"/>
                    <w:right w:val="nil"/>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委托有相应处理资质的单位处理</w:t>
                  </w:r>
                </w:p>
              </w:tc>
            </w:tr>
            <w:tr>
              <w:tblPrEx>
                <w:tblLayout w:type="fixed"/>
                <w:tblCellMar>
                  <w:top w:w="0" w:type="dxa"/>
                  <w:left w:w="0" w:type="dxa"/>
                  <w:bottom w:w="0" w:type="dxa"/>
                  <w:right w:w="0" w:type="dxa"/>
                </w:tblCellMar>
              </w:tblPrEx>
              <w:trPr>
                <w:trHeight w:val="340" w:hRule="atLeast"/>
                <w:jc w:val="center"/>
              </w:trPr>
              <w:tc>
                <w:tcPr>
                  <w:tcW w:w="983" w:type="dxa"/>
                  <w:tcBorders>
                    <w:top w:val="single" w:color="000000" w:sz="4" w:space="0"/>
                    <w:left w:val="nil"/>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w:t>
                  </w:r>
                </w:p>
              </w:tc>
              <w:tc>
                <w:tcPr>
                  <w:tcW w:w="1338"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废边角料</w:t>
                  </w:r>
                </w:p>
              </w:tc>
              <w:tc>
                <w:tcPr>
                  <w:tcW w:w="68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118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10.3</w:t>
                  </w:r>
                </w:p>
              </w:tc>
              <w:tc>
                <w:tcPr>
                  <w:tcW w:w="118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10.3</w:t>
                  </w:r>
                </w:p>
              </w:tc>
              <w:tc>
                <w:tcPr>
                  <w:tcW w:w="133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w:t>
                  </w:r>
                </w:p>
              </w:tc>
              <w:tc>
                <w:tcPr>
                  <w:tcW w:w="2237" w:type="dxa"/>
                  <w:vMerge w:val="restart"/>
                  <w:tcBorders>
                    <w:top w:val="single" w:color="000000" w:sz="4" w:space="0"/>
                    <w:left w:val="single" w:color="000000" w:sz="4" w:space="0"/>
                    <w:bottom w:val="single" w:color="000000" w:sz="2" w:space="0"/>
                    <w:right w:val="nil"/>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出售给厂家回收利用</w:t>
                  </w:r>
                </w:p>
              </w:tc>
            </w:tr>
            <w:tr>
              <w:tblPrEx>
                <w:tblLayout w:type="fixed"/>
                <w:tblCellMar>
                  <w:top w:w="0" w:type="dxa"/>
                  <w:left w:w="0" w:type="dxa"/>
                  <w:bottom w:w="0" w:type="dxa"/>
                  <w:right w:w="0" w:type="dxa"/>
                </w:tblCellMar>
              </w:tblPrEx>
              <w:trPr>
                <w:trHeight w:val="340" w:hRule="atLeast"/>
                <w:jc w:val="center"/>
              </w:trPr>
              <w:tc>
                <w:tcPr>
                  <w:tcW w:w="983" w:type="dxa"/>
                  <w:tcBorders>
                    <w:top w:val="single" w:color="000000" w:sz="4" w:space="0"/>
                    <w:left w:val="nil"/>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3</w:t>
                  </w:r>
                </w:p>
              </w:tc>
              <w:tc>
                <w:tcPr>
                  <w:tcW w:w="1338"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废隔膜</w:t>
                  </w:r>
                </w:p>
              </w:tc>
              <w:tc>
                <w:tcPr>
                  <w:tcW w:w="68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118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0.1</w:t>
                  </w:r>
                </w:p>
              </w:tc>
              <w:tc>
                <w:tcPr>
                  <w:tcW w:w="118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0.1</w:t>
                  </w:r>
                </w:p>
              </w:tc>
              <w:tc>
                <w:tcPr>
                  <w:tcW w:w="133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w:t>
                  </w:r>
                </w:p>
              </w:tc>
              <w:tc>
                <w:tcPr>
                  <w:tcW w:w="2237" w:type="dxa"/>
                  <w:vMerge w:val="continue"/>
                  <w:tcBorders>
                    <w:top w:val="single" w:color="000000" w:sz="4" w:space="0"/>
                    <w:left w:val="single" w:color="000000" w:sz="4" w:space="0"/>
                    <w:bottom w:val="single" w:color="000000" w:sz="2" w:space="0"/>
                    <w:right w:val="nil"/>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p>
              </w:tc>
            </w:tr>
            <w:tr>
              <w:tblPrEx>
                <w:tblLayout w:type="fixed"/>
                <w:tblCellMar>
                  <w:top w:w="0" w:type="dxa"/>
                  <w:left w:w="0" w:type="dxa"/>
                  <w:bottom w:w="0" w:type="dxa"/>
                  <w:right w:w="0" w:type="dxa"/>
                </w:tblCellMar>
              </w:tblPrEx>
              <w:trPr>
                <w:trHeight w:val="340" w:hRule="atLeast"/>
                <w:jc w:val="center"/>
              </w:trPr>
              <w:tc>
                <w:tcPr>
                  <w:tcW w:w="983" w:type="dxa"/>
                  <w:tcBorders>
                    <w:top w:val="single" w:color="000000" w:sz="4" w:space="0"/>
                    <w:left w:val="nil"/>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4</w:t>
                  </w:r>
                </w:p>
              </w:tc>
              <w:tc>
                <w:tcPr>
                  <w:tcW w:w="1338"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不合格电芯</w:t>
                  </w:r>
                </w:p>
              </w:tc>
              <w:tc>
                <w:tcPr>
                  <w:tcW w:w="68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118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0.16</w:t>
                  </w:r>
                </w:p>
              </w:tc>
              <w:tc>
                <w:tcPr>
                  <w:tcW w:w="118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0.16</w:t>
                  </w:r>
                </w:p>
              </w:tc>
              <w:tc>
                <w:tcPr>
                  <w:tcW w:w="133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w:t>
                  </w:r>
                </w:p>
              </w:tc>
              <w:tc>
                <w:tcPr>
                  <w:tcW w:w="2237" w:type="dxa"/>
                  <w:vMerge w:val="restart"/>
                  <w:tcBorders>
                    <w:top w:val="single" w:color="000000" w:sz="2" w:space="0"/>
                    <w:left w:val="single" w:color="000000" w:sz="4" w:space="0"/>
                    <w:bottom w:val="single" w:color="000000" w:sz="2" w:space="0"/>
                    <w:right w:val="nil"/>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厂区不拆解，委托其他单位综合利用</w:t>
                  </w:r>
                </w:p>
              </w:tc>
            </w:tr>
            <w:tr>
              <w:tblPrEx>
                <w:tblLayout w:type="fixed"/>
                <w:tblCellMar>
                  <w:top w:w="0" w:type="dxa"/>
                  <w:left w:w="0" w:type="dxa"/>
                  <w:bottom w:w="0" w:type="dxa"/>
                  <w:right w:w="0" w:type="dxa"/>
                </w:tblCellMar>
              </w:tblPrEx>
              <w:trPr>
                <w:trHeight w:val="340" w:hRule="atLeast"/>
                <w:jc w:val="center"/>
              </w:trPr>
              <w:tc>
                <w:tcPr>
                  <w:tcW w:w="983" w:type="dxa"/>
                  <w:tcBorders>
                    <w:top w:val="single" w:color="000000" w:sz="4" w:space="0"/>
                    <w:left w:val="nil"/>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5</w:t>
                  </w:r>
                </w:p>
              </w:tc>
              <w:tc>
                <w:tcPr>
                  <w:tcW w:w="1338"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废电池</w:t>
                  </w:r>
                </w:p>
              </w:tc>
              <w:tc>
                <w:tcPr>
                  <w:tcW w:w="68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118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2.1</w:t>
                  </w:r>
                </w:p>
              </w:tc>
              <w:tc>
                <w:tcPr>
                  <w:tcW w:w="118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2.1</w:t>
                  </w:r>
                </w:p>
              </w:tc>
              <w:tc>
                <w:tcPr>
                  <w:tcW w:w="1339" w:type="dxa"/>
                  <w:tcBorders>
                    <w:top w:val="single" w:color="000000" w:sz="4" w:space="0"/>
                    <w:left w:val="single" w:color="000000" w:sz="4" w:space="0"/>
                    <w:bottom w:val="single" w:color="000000" w:sz="2"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w:t>
                  </w:r>
                </w:p>
              </w:tc>
              <w:tc>
                <w:tcPr>
                  <w:tcW w:w="2237" w:type="dxa"/>
                  <w:vMerge w:val="continue"/>
                  <w:tcBorders>
                    <w:top w:val="single" w:color="000000" w:sz="2" w:space="0"/>
                    <w:left w:val="single" w:color="000000" w:sz="4" w:space="0"/>
                    <w:bottom w:val="single" w:color="000000" w:sz="2" w:space="0"/>
                    <w:right w:val="nil"/>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p>
              </w:tc>
            </w:tr>
            <w:tr>
              <w:tblPrEx>
                <w:tblLayout w:type="fixed"/>
                <w:tblCellMar>
                  <w:top w:w="0" w:type="dxa"/>
                  <w:left w:w="0" w:type="dxa"/>
                  <w:bottom w:w="0" w:type="dxa"/>
                  <w:right w:w="0" w:type="dxa"/>
                </w:tblCellMar>
              </w:tblPrEx>
              <w:trPr>
                <w:trHeight w:val="340" w:hRule="atLeast"/>
                <w:jc w:val="center"/>
              </w:trPr>
              <w:tc>
                <w:tcPr>
                  <w:tcW w:w="983" w:type="dxa"/>
                  <w:tcBorders>
                    <w:top w:val="single" w:color="000000" w:sz="4" w:space="0"/>
                    <w:left w:val="nil"/>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6</w:t>
                  </w:r>
                </w:p>
              </w:tc>
              <w:tc>
                <w:tcPr>
                  <w:tcW w:w="1338"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不合格辅料</w:t>
                  </w:r>
                </w:p>
              </w:tc>
              <w:tc>
                <w:tcPr>
                  <w:tcW w:w="68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118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2.8</w:t>
                  </w:r>
                </w:p>
              </w:tc>
              <w:tc>
                <w:tcPr>
                  <w:tcW w:w="118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2.8</w:t>
                  </w:r>
                </w:p>
              </w:tc>
              <w:tc>
                <w:tcPr>
                  <w:tcW w:w="1339" w:type="dxa"/>
                  <w:tcBorders>
                    <w:top w:val="single" w:color="000000" w:sz="2"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w:t>
                  </w:r>
                </w:p>
              </w:tc>
              <w:tc>
                <w:tcPr>
                  <w:tcW w:w="2237" w:type="dxa"/>
                  <w:tcBorders>
                    <w:top w:val="single" w:color="000000" w:sz="2" w:space="0"/>
                    <w:left w:val="single" w:color="000000" w:sz="4" w:space="0"/>
                    <w:bottom w:val="single" w:color="000000" w:sz="4" w:space="0"/>
                    <w:right w:val="nil"/>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出售给厂家回收利用</w:t>
                  </w:r>
                </w:p>
              </w:tc>
            </w:tr>
            <w:tr>
              <w:tblPrEx>
                <w:tblLayout w:type="fixed"/>
                <w:tblCellMar>
                  <w:top w:w="0" w:type="dxa"/>
                  <w:left w:w="0" w:type="dxa"/>
                  <w:bottom w:w="0" w:type="dxa"/>
                  <w:right w:w="0" w:type="dxa"/>
                </w:tblCellMar>
              </w:tblPrEx>
              <w:trPr>
                <w:trHeight w:val="340" w:hRule="atLeast"/>
                <w:jc w:val="center"/>
              </w:trPr>
              <w:tc>
                <w:tcPr>
                  <w:tcW w:w="983" w:type="dxa"/>
                  <w:tcBorders>
                    <w:top w:val="single" w:color="000000" w:sz="4" w:space="0"/>
                    <w:left w:val="nil"/>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7</w:t>
                  </w:r>
                </w:p>
              </w:tc>
              <w:tc>
                <w:tcPr>
                  <w:tcW w:w="1338"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布袋除尘器 收尘</w:t>
                  </w:r>
                </w:p>
              </w:tc>
              <w:tc>
                <w:tcPr>
                  <w:tcW w:w="68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118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2.85</w:t>
                  </w:r>
                </w:p>
              </w:tc>
              <w:tc>
                <w:tcPr>
                  <w:tcW w:w="118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2.85</w:t>
                  </w:r>
                </w:p>
              </w:tc>
              <w:tc>
                <w:tcPr>
                  <w:tcW w:w="133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w:t>
                  </w:r>
                </w:p>
              </w:tc>
              <w:tc>
                <w:tcPr>
                  <w:tcW w:w="2237" w:type="dxa"/>
                  <w:tcBorders>
                    <w:top w:val="single" w:color="000000" w:sz="4" w:space="0"/>
                    <w:left w:val="single" w:color="000000" w:sz="4" w:space="0"/>
                    <w:bottom w:val="single" w:color="000000" w:sz="4" w:space="0"/>
                    <w:right w:val="nil"/>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回收作为原料再利用</w:t>
                  </w:r>
                </w:p>
              </w:tc>
            </w:tr>
            <w:tr>
              <w:tblPrEx>
                <w:tblLayout w:type="fixed"/>
                <w:tblCellMar>
                  <w:top w:w="0" w:type="dxa"/>
                  <w:left w:w="0" w:type="dxa"/>
                  <w:bottom w:w="0" w:type="dxa"/>
                  <w:right w:w="0" w:type="dxa"/>
                </w:tblCellMar>
              </w:tblPrEx>
              <w:trPr>
                <w:trHeight w:val="340" w:hRule="atLeast"/>
                <w:jc w:val="center"/>
              </w:trPr>
              <w:tc>
                <w:tcPr>
                  <w:tcW w:w="983" w:type="dxa"/>
                  <w:tcBorders>
                    <w:top w:val="single" w:color="000000" w:sz="4" w:space="0"/>
                    <w:left w:val="nil"/>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8</w:t>
                  </w:r>
                </w:p>
              </w:tc>
              <w:tc>
                <w:tcPr>
                  <w:tcW w:w="1338"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废包装桶袋</w:t>
                  </w:r>
                </w:p>
              </w:tc>
              <w:tc>
                <w:tcPr>
                  <w:tcW w:w="68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HW49</w:t>
                  </w:r>
                </w:p>
              </w:tc>
              <w:tc>
                <w:tcPr>
                  <w:tcW w:w="118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0.5</w:t>
                  </w:r>
                </w:p>
              </w:tc>
              <w:tc>
                <w:tcPr>
                  <w:tcW w:w="118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0.5</w:t>
                  </w:r>
                </w:p>
              </w:tc>
              <w:tc>
                <w:tcPr>
                  <w:tcW w:w="133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w:t>
                  </w:r>
                </w:p>
              </w:tc>
              <w:tc>
                <w:tcPr>
                  <w:tcW w:w="2237" w:type="dxa"/>
                  <w:tcBorders>
                    <w:top w:val="single" w:color="000000" w:sz="4" w:space="0"/>
                    <w:left w:val="single" w:color="000000" w:sz="4" w:space="0"/>
                    <w:bottom w:val="single" w:color="000000" w:sz="4" w:space="0"/>
                    <w:right w:val="nil"/>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委托有相应处理资质的单位处理</w:t>
                  </w:r>
                </w:p>
              </w:tc>
            </w:tr>
            <w:tr>
              <w:tblPrEx>
                <w:tblLayout w:type="fixed"/>
                <w:tblCellMar>
                  <w:top w:w="0" w:type="dxa"/>
                  <w:left w:w="0" w:type="dxa"/>
                  <w:bottom w:w="0" w:type="dxa"/>
                  <w:right w:w="0" w:type="dxa"/>
                </w:tblCellMar>
              </w:tblPrEx>
              <w:trPr>
                <w:trHeight w:val="340" w:hRule="atLeast"/>
                <w:jc w:val="center"/>
              </w:trPr>
              <w:tc>
                <w:tcPr>
                  <w:tcW w:w="983" w:type="dxa"/>
                  <w:tcBorders>
                    <w:top w:val="single" w:color="000000" w:sz="4" w:space="0"/>
                    <w:left w:val="nil"/>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9</w:t>
                  </w:r>
                </w:p>
              </w:tc>
              <w:tc>
                <w:tcPr>
                  <w:tcW w:w="1338"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生活垃圾</w:t>
                  </w:r>
                </w:p>
              </w:tc>
              <w:tc>
                <w:tcPr>
                  <w:tcW w:w="68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118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160</w:t>
                  </w:r>
                </w:p>
              </w:tc>
              <w:tc>
                <w:tcPr>
                  <w:tcW w:w="118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160</w:t>
                  </w:r>
                </w:p>
              </w:tc>
              <w:tc>
                <w:tcPr>
                  <w:tcW w:w="133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w:t>
                  </w:r>
                </w:p>
              </w:tc>
              <w:tc>
                <w:tcPr>
                  <w:tcW w:w="2237" w:type="dxa"/>
                  <w:tcBorders>
                    <w:top w:val="single" w:color="000000" w:sz="4" w:space="0"/>
                    <w:left w:val="single" w:color="000000" w:sz="4" w:space="0"/>
                    <w:bottom w:val="single" w:color="000000" w:sz="4" w:space="0"/>
                    <w:right w:val="nil"/>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环卫清运</w:t>
                  </w:r>
                </w:p>
              </w:tc>
            </w:tr>
            <w:tr>
              <w:tblPrEx>
                <w:tblLayout w:type="fixed"/>
                <w:tblCellMar>
                  <w:top w:w="0" w:type="dxa"/>
                  <w:left w:w="0" w:type="dxa"/>
                  <w:bottom w:w="0" w:type="dxa"/>
                  <w:right w:w="0" w:type="dxa"/>
                </w:tblCellMar>
              </w:tblPrEx>
              <w:trPr>
                <w:trHeight w:val="340" w:hRule="atLeast"/>
                <w:jc w:val="center"/>
              </w:trPr>
              <w:tc>
                <w:tcPr>
                  <w:tcW w:w="983" w:type="dxa"/>
                  <w:tcBorders>
                    <w:top w:val="single" w:color="000000" w:sz="4" w:space="0"/>
                    <w:left w:val="nil"/>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10</w:t>
                  </w:r>
                </w:p>
              </w:tc>
              <w:tc>
                <w:tcPr>
                  <w:tcW w:w="1338"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废水处理污</w:t>
                  </w:r>
                </w:p>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泥及活性炭</w:t>
                  </w:r>
                </w:p>
              </w:tc>
              <w:tc>
                <w:tcPr>
                  <w:tcW w:w="68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118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15</w:t>
                  </w:r>
                </w:p>
              </w:tc>
              <w:tc>
                <w:tcPr>
                  <w:tcW w:w="118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15</w:t>
                  </w:r>
                </w:p>
              </w:tc>
              <w:tc>
                <w:tcPr>
                  <w:tcW w:w="133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w:t>
                  </w:r>
                </w:p>
              </w:tc>
              <w:tc>
                <w:tcPr>
                  <w:tcW w:w="2237" w:type="dxa"/>
                  <w:vMerge w:val="restart"/>
                  <w:tcBorders>
                    <w:top w:val="single" w:color="000000" w:sz="4" w:space="0"/>
                    <w:left w:val="single" w:color="000000" w:sz="4" w:space="0"/>
                    <w:right w:val="nil"/>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环卫清运</w:t>
                  </w:r>
                </w:p>
              </w:tc>
            </w:tr>
            <w:tr>
              <w:tblPrEx>
                <w:tblLayout w:type="fixed"/>
                <w:tblCellMar>
                  <w:top w:w="0" w:type="dxa"/>
                  <w:left w:w="0" w:type="dxa"/>
                  <w:bottom w:w="0" w:type="dxa"/>
                  <w:right w:w="0" w:type="dxa"/>
                </w:tblCellMar>
              </w:tblPrEx>
              <w:trPr>
                <w:trHeight w:val="340" w:hRule="atLeast"/>
                <w:jc w:val="center"/>
              </w:trPr>
              <w:tc>
                <w:tcPr>
                  <w:tcW w:w="983" w:type="dxa"/>
                  <w:tcBorders>
                    <w:top w:val="single" w:color="000000" w:sz="4" w:space="0"/>
                    <w:left w:val="nil"/>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11</w:t>
                  </w:r>
                </w:p>
              </w:tc>
              <w:tc>
                <w:tcPr>
                  <w:tcW w:w="1338"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化粪池污泥</w:t>
                  </w:r>
                </w:p>
              </w:tc>
              <w:tc>
                <w:tcPr>
                  <w:tcW w:w="68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118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25.5</w:t>
                  </w:r>
                </w:p>
              </w:tc>
              <w:tc>
                <w:tcPr>
                  <w:tcW w:w="118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25.5</w:t>
                  </w:r>
                </w:p>
              </w:tc>
              <w:tc>
                <w:tcPr>
                  <w:tcW w:w="133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w:t>
                  </w:r>
                </w:p>
              </w:tc>
              <w:tc>
                <w:tcPr>
                  <w:tcW w:w="2237" w:type="dxa"/>
                  <w:vMerge w:val="continue"/>
                  <w:tcBorders>
                    <w:left w:val="single" w:color="000000" w:sz="4" w:space="0"/>
                    <w:right w:val="nil"/>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p>
              </w:tc>
            </w:tr>
            <w:tr>
              <w:tblPrEx>
                <w:tblLayout w:type="fixed"/>
                <w:tblCellMar>
                  <w:top w:w="0" w:type="dxa"/>
                  <w:left w:w="0" w:type="dxa"/>
                  <w:bottom w:w="0" w:type="dxa"/>
                  <w:right w:w="0" w:type="dxa"/>
                </w:tblCellMar>
              </w:tblPrEx>
              <w:trPr>
                <w:trHeight w:val="340" w:hRule="atLeast"/>
                <w:jc w:val="center"/>
              </w:trPr>
              <w:tc>
                <w:tcPr>
                  <w:tcW w:w="983" w:type="dxa"/>
                  <w:vMerge w:val="restart"/>
                  <w:tcBorders>
                    <w:top w:val="single" w:color="000000" w:sz="4" w:space="0"/>
                    <w:left w:val="nil"/>
                    <w:bottom w:val="single" w:color="000000" w:sz="10"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合 计</w:t>
                  </w:r>
                </w:p>
              </w:tc>
              <w:tc>
                <w:tcPr>
                  <w:tcW w:w="1338"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危险废物</w:t>
                  </w:r>
                </w:p>
              </w:tc>
              <w:tc>
                <w:tcPr>
                  <w:tcW w:w="68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118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10.5</w:t>
                  </w:r>
                </w:p>
              </w:tc>
              <w:tc>
                <w:tcPr>
                  <w:tcW w:w="118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10.5</w:t>
                  </w:r>
                </w:p>
              </w:tc>
              <w:tc>
                <w:tcPr>
                  <w:tcW w:w="133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w:t>
                  </w:r>
                </w:p>
              </w:tc>
              <w:tc>
                <w:tcPr>
                  <w:tcW w:w="2237" w:type="dxa"/>
                  <w:tcBorders>
                    <w:top w:val="single" w:color="000000" w:sz="4" w:space="0"/>
                    <w:left w:val="single" w:color="000000" w:sz="4" w:space="0"/>
                    <w:bottom w:val="single" w:color="000000" w:sz="4" w:space="0"/>
                    <w:right w:val="nil"/>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r>
            <w:tr>
              <w:tblPrEx>
                <w:tblLayout w:type="fixed"/>
                <w:tblCellMar>
                  <w:top w:w="0" w:type="dxa"/>
                  <w:left w:w="0" w:type="dxa"/>
                  <w:bottom w:w="0" w:type="dxa"/>
                  <w:right w:w="0" w:type="dxa"/>
                </w:tblCellMar>
              </w:tblPrEx>
              <w:trPr>
                <w:trHeight w:val="340" w:hRule="atLeast"/>
                <w:jc w:val="center"/>
              </w:trPr>
              <w:tc>
                <w:tcPr>
                  <w:tcW w:w="983" w:type="dxa"/>
                  <w:vMerge w:val="continue"/>
                  <w:tcBorders>
                    <w:top w:val="single" w:color="000000" w:sz="4" w:space="0"/>
                    <w:left w:val="nil"/>
                    <w:bottom w:val="single" w:color="000000" w:sz="10"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p>
              </w:tc>
              <w:tc>
                <w:tcPr>
                  <w:tcW w:w="1338"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一般工业</w:t>
                  </w:r>
                </w:p>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固废</w:t>
                  </w:r>
                </w:p>
              </w:tc>
              <w:tc>
                <w:tcPr>
                  <w:tcW w:w="68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118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58.81</w:t>
                  </w:r>
                </w:p>
              </w:tc>
              <w:tc>
                <w:tcPr>
                  <w:tcW w:w="118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58.81</w:t>
                  </w:r>
                </w:p>
              </w:tc>
              <w:tc>
                <w:tcPr>
                  <w:tcW w:w="133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w:t>
                  </w:r>
                </w:p>
              </w:tc>
              <w:tc>
                <w:tcPr>
                  <w:tcW w:w="2237" w:type="dxa"/>
                  <w:tcBorders>
                    <w:top w:val="single" w:color="000000" w:sz="4" w:space="0"/>
                    <w:left w:val="single" w:color="000000" w:sz="4" w:space="0"/>
                    <w:bottom w:val="single" w:color="000000" w:sz="4" w:space="0"/>
                    <w:right w:val="nil"/>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r>
            <w:tr>
              <w:tblPrEx>
                <w:tblLayout w:type="fixed"/>
                <w:tblCellMar>
                  <w:top w:w="0" w:type="dxa"/>
                  <w:left w:w="0" w:type="dxa"/>
                  <w:bottom w:w="0" w:type="dxa"/>
                  <w:right w:w="0" w:type="dxa"/>
                </w:tblCellMar>
              </w:tblPrEx>
              <w:trPr>
                <w:trHeight w:val="340" w:hRule="atLeast"/>
                <w:jc w:val="center"/>
              </w:trPr>
              <w:tc>
                <w:tcPr>
                  <w:tcW w:w="983" w:type="dxa"/>
                  <w:vMerge w:val="continue"/>
                  <w:tcBorders>
                    <w:top w:val="single" w:color="000000" w:sz="4" w:space="0"/>
                    <w:left w:val="nil"/>
                    <w:bottom w:val="single" w:color="000000" w:sz="8"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p>
              </w:tc>
              <w:tc>
                <w:tcPr>
                  <w:tcW w:w="1338" w:type="dxa"/>
                  <w:tcBorders>
                    <w:top w:val="single" w:color="000000" w:sz="4" w:space="0"/>
                    <w:left w:val="single" w:color="000000" w:sz="4" w:space="0"/>
                    <w:bottom w:val="single" w:color="000000" w:sz="8"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生活垃圾</w:t>
                  </w:r>
                </w:p>
              </w:tc>
              <w:tc>
                <w:tcPr>
                  <w:tcW w:w="686" w:type="dxa"/>
                  <w:tcBorders>
                    <w:top w:val="single" w:color="000000" w:sz="4" w:space="0"/>
                    <w:left w:val="single" w:color="000000" w:sz="4" w:space="0"/>
                    <w:bottom w:val="single" w:color="000000" w:sz="8" w:space="0"/>
                    <w:right w:val="single" w:color="000000" w:sz="4" w:space="0"/>
                  </w:tcBorders>
                  <w:tcMar>
                    <w:top w:w="28" w:type="dxa"/>
                    <w:left w:w="28" w:type="dxa"/>
                    <w:bottom w:w="28" w:type="dxa"/>
                    <w:right w:w="28" w:type="dxa"/>
                  </w:tcMa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1189" w:type="dxa"/>
                  <w:tcBorders>
                    <w:top w:val="single" w:color="000000" w:sz="4" w:space="0"/>
                    <w:left w:val="single" w:color="000000" w:sz="4" w:space="0"/>
                    <w:bottom w:val="single" w:color="000000" w:sz="8"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160</w:t>
                  </w:r>
                </w:p>
              </w:tc>
              <w:tc>
                <w:tcPr>
                  <w:tcW w:w="1189" w:type="dxa"/>
                  <w:tcBorders>
                    <w:top w:val="single" w:color="000000" w:sz="4" w:space="0"/>
                    <w:left w:val="single" w:color="000000" w:sz="4" w:space="0"/>
                    <w:bottom w:val="single" w:color="000000" w:sz="8"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160</w:t>
                  </w:r>
                </w:p>
              </w:tc>
              <w:tc>
                <w:tcPr>
                  <w:tcW w:w="1339" w:type="dxa"/>
                  <w:tcBorders>
                    <w:top w:val="single" w:color="000000" w:sz="4" w:space="0"/>
                    <w:left w:val="single" w:color="000000" w:sz="4" w:space="0"/>
                    <w:bottom w:val="single" w:color="000000" w:sz="8" w:space="0"/>
                    <w:right w:val="single" w:color="000000" w:sz="4" w:space="0"/>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w:t>
                  </w:r>
                </w:p>
              </w:tc>
              <w:tc>
                <w:tcPr>
                  <w:tcW w:w="2237" w:type="dxa"/>
                  <w:tcBorders>
                    <w:top w:val="single" w:color="000000" w:sz="4" w:space="0"/>
                    <w:left w:val="single" w:color="000000" w:sz="4" w:space="0"/>
                    <w:bottom w:val="single" w:color="000000" w:sz="8" w:space="0"/>
                    <w:right w:val="nil"/>
                  </w:tcBorders>
                  <w:tcMar>
                    <w:top w:w="28" w:type="dxa"/>
                    <w:left w:w="28" w:type="dxa"/>
                    <w:bottom w:w="28" w:type="dxa"/>
                    <w:right w:w="28" w:type="dxa"/>
                  </w:tcMar>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r>
          </w:tbl>
          <w:p>
            <w:pPr>
              <w:snapToGrid w:val="0"/>
              <w:spacing w:line="440" w:lineRule="exact"/>
              <w:ind w:firstLine="0" w:firstLineChars="0"/>
              <w:jc w:val="center"/>
              <w:rPr>
                <w:rFonts w:ascii="Times New Roman" w:hAnsi="Times New Roman" w:eastAsia="黑体" w:cs="Times New Roman"/>
                <w:snapToGrid w:val="0"/>
                <w:kern w:val="0"/>
              </w:rPr>
            </w:pPr>
            <w:r>
              <w:rPr>
                <w:rFonts w:ascii="Times New Roman" w:hAnsi="Times New Roman" w:eastAsia="黑体" w:cs="Times New Roman"/>
                <w:snapToGrid w:val="0"/>
                <w:kern w:val="0"/>
              </w:rPr>
              <w:t>表22 危险废物汇总表</w:t>
            </w:r>
          </w:p>
          <w:tbl>
            <w:tblPr>
              <w:tblStyle w:val="11"/>
              <w:tblW w:w="8961"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7"/>
              <w:gridCol w:w="672"/>
              <w:gridCol w:w="776"/>
              <w:gridCol w:w="1273"/>
              <w:gridCol w:w="837"/>
              <w:gridCol w:w="692"/>
              <w:gridCol w:w="426"/>
              <w:gridCol w:w="1115"/>
              <w:gridCol w:w="1260"/>
              <w:gridCol w:w="1483"/>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27" w:type="dxa"/>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序号</w:t>
                  </w:r>
                </w:p>
              </w:tc>
              <w:tc>
                <w:tcPr>
                  <w:tcW w:w="672" w:type="dxa"/>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危险废物名称</w:t>
                  </w:r>
                </w:p>
              </w:tc>
              <w:tc>
                <w:tcPr>
                  <w:tcW w:w="776" w:type="dxa"/>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危险废物类别</w:t>
                  </w:r>
                </w:p>
              </w:tc>
              <w:tc>
                <w:tcPr>
                  <w:tcW w:w="1273" w:type="dxa"/>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危险废物代码</w:t>
                  </w:r>
                </w:p>
              </w:tc>
              <w:tc>
                <w:tcPr>
                  <w:tcW w:w="837" w:type="dxa"/>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产生量</w:t>
                  </w:r>
                </w:p>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t/a</w:t>
                  </w:r>
                </w:p>
              </w:tc>
              <w:tc>
                <w:tcPr>
                  <w:tcW w:w="692" w:type="dxa"/>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产生</w:t>
                  </w:r>
                </w:p>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工序</w:t>
                  </w:r>
                </w:p>
              </w:tc>
              <w:tc>
                <w:tcPr>
                  <w:tcW w:w="426" w:type="dxa"/>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形态</w:t>
                  </w:r>
                </w:p>
              </w:tc>
              <w:tc>
                <w:tcPr>
                  <w:tcW w:w="1115" w:type="dxa"/>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主要成分</w:t>
                  </w:r>
                </w:p>
              </w:tc>
              <w:tc>
                <w:tcPr>
                  <w:tcW w:w="1260" w:type="dxa"/>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危险</w:t>
                  </w:r>
                </w:p>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特性</w:t>
                  </w:r>
                </w:p>
              </w:tc>
              <w:tc>
                <w:tcPr>
                  <w:tcW w:w="1483" w:type="dxa"/>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污染防治措施*</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27" w:type="dxa"/>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w:t>
                  </w:r>
                </w:p>
              </w:tc>
              <w:tc>
                <w:tcPr>
                  <w:tcW w:w="672" w:type="dxa"/>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NMP废液</w:t>
                  </w:r>
                </w:p>
              </w:tc>
              <w:tc>
                <w:tcPr>
                  <w:tcW w:w="776" w:type="dxa"/>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HW46</w:t>
                  </w:r>
                </w:p>
              </w:tc>
              <w:tc>
                <w:tcPr>
                  <w:tcW w:w="1273" w:type="dxa"/>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394-005-46</w:t>
                  </w:r>
                </w:p>
              </w:tc>
              <w:tc>
                <w:tcPr>
                  <w:tcW w:w="837" w:type="dxa"/>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10</w:t>
                  </w:r>
                </w:p>
              </w:tc>
              <w:tc>
                <w:tcPr>
                  <w:tcW w:w="692" w:type="dxa"/>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筛网清洗</w:t>
                  </w:r>
                </w:p>
              </w:tc>
              <w:tc>
                <w:tcPr>
                  <w:tcW w:w="426" w:type="dxa"/>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液</w:t>
                  </w:r>
                </w:p>
              </w:tc>
              <w:tc>
                <w:tcPr>
                  <w:tcW w:w="1115" w:type="dxa"/>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正、负极活性材料（包括镍）、NMP、电解液等</w:t>
                  </w:r>
                </w:p>
              </w:tc>
              <w:tc>
                <w:tcPr>
                  <w:tcW w:w="1260" w:type="dxa"/>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T</w:t>
                  </w:r>
                </w:p>
              </w:tc>
              <w:tc>
                <w:tcPr>
                  <w:tcW w:w="1483" w:type="dxa"/>
                  <w:vMerge w:val="restart"/>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委托有相应处理资质的单位处理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27" w:type="dxa"/>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w:t>
                  </w:r>
                </w:p>
              </w:tc>
              <w:tc>
                <w:tcPr>
                  <w:tcW w:w="672" w:type="dxa"/>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废包</w:t>
                  </w:r>
                </w:p>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装桶袋</w:t>
                  </w:r>
                </w:p>
              </w:tc>
              <w:tc>
                <w:tcPr>
                  <w:tcW w:w="776" w:type="dxa"/>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HW49</w:t>
                  </w:r>
                </w:p>
              </w:tc>
              <w:tc>
                <w:tcPr>
                  <w:tcW w:w="1273" w:type="dxa"/>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900-041-49</w:t>
                  </w:r>
                </w:p>
              </w:tc>
              <w:tc>
                <w:tcPr>
                  <w:tcW w:w="837" w:type="dxa"/>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0.5</w:t>
                  </w:r>
                </w:p>
              </w:tc>
              <w:tc>
                <w:tcPr>
                  <w:tcW w:w="692" w:type="dxa"/>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原料包装</w:t>
                  </w:r>
                </w:p>
              </w:tc>
              <w:tc>
                <w:tcPr>
                  <w:tcW w:w="426" w:type="dxa"/>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固</w:t>
                  </w:r>
                </w:p>
              </w:tc>
              <w:tc>
                <w:tcPr>
                  <w:tcW w:w="1115" w:type="dxa"/>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铁桶、附着</w:t>
                  </w:r>
                </w:p>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NMP、电解液等</w:t>
                  </w:r>
                </w:p>
              </w:tc>
              <w:tc>
                <w:tcPr>
                  <w:tcW w:w="1260" w:type="dxa"/>
                  <w:vAlign w:val="center"/>
                </w:tcPr>
                <w:p>
                  <w:pPr>
                    <w:pStyle w:val="15"/>
                    <w:kinsoku w:val="0"/>
                    <w:overflowPunct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T/C/In/I/R</w:t>
                  </w:r>
                </w:p>
              </w:tc>
              <w:tc>
                <w:tcPr>
                  <w:tcW w:w="1483" w:type="dxa"/>
                  <w:vMerge w:val="continue"/>
                  <w:vAlign w:val="center"/>
                </w:tcPr>
                <w:p>
                  <w:pPr>
                    <w:pStyle w:val="15"/>
                    <w:kinsoku w:val="0"/>
                    <w:overflowPunct w:val="0"/>
                    <w:spacing w:line="240" w:lineRule="auto"/>
                    <w:ind w:firstLine="0" w:firstLineChars="0"/>
                    <w:jc w:val="center"/>
                    <w:rPr>
                      <w:rFonts w:ascii="Times New Roman" w:hAnsi="Times New Roman" w:cs="Times New Roman"/>
                      <w:sz w:val="21"/>
                      <w:szCs w:val="21"/>
                    </w:rPr>
                  </w:pPr>
                </w:p>
              </w:tc>
            </w:tr>
          </w:tbl>
          <w:p>
            <w:pPr>
              <w:adjustRightInd w:val="0"/>
              <w:snapToGrid w:val="0"/>
              <w:spacing w:line="440" w:lineRule="exact"/>
              <w:ind w:firstLine="480"/>
              <w:jc w:val="left"/>
              <w:rPr>
                <w:rFonts w:ascii="Times New Roman" w:hAnsi="Times New Roman" w:cs="Times New Roman"/>
                <w:szCs w:val="24"/>
              </w:rPr>
            </w:pPr>
          </w:p>
          <w:p>
            <w:pPr>
              <w:adjustRightInd w:val="0"/>
              <w:snapToGrid w:val="0"/>
              <w:spacing w:line="440" w:lineRule="exact"/>
              <w:ind w:firstLine="480"/>
              <w:jc w:val="left"/>
              <w:rPr>
                <w:rFonts w:ascii="Times New Roman" w:hAnsi="Times New Roman" w:cs="Times New Roman"/>
                <w:szCs w:val="24"/>
              </w:rPr>
            </w:pPr>
          </w:p>
          <w:p>
            <w:pPr>
              <w:adjustRightInd w:val="0"/>
              <w:snapToGrid w:val="0"/>
              <w:spacing w:line="440" w:lineRule="exact"/>
              <w:ind w:firstLine="480"/>
              <w:jc w:val="left"/>
              <w:rPr>
                <w:rFonts w:ascii="Times New Roman" w:hAnsi="Times New Roman" w:cs="Times New Roman"/>
                <w:szCs w:val="24"/>
              </w:rPr>
            </w:pPr>
          </w:p>
          <w:p>
            <w:pPr>
              <w:adjustRightInd w:val="0"/>
              <w:snapToGrid w:val="0"/>
              <w:spacing w:line="440" w:lineRule="exact"/>
              <w:ind w:firstLine="480"/>
              <w:jc w:val="left"/>
              <w:rPr>
                <w:rFonts w:ascii="Times New Roman" w:hAnsi="Times New Roman" w:cs="Times New Roman"/>
                <w:szCs w:val="24"/>
              </w:rPr>
            </w:pPr>
          </w:p>
          <w:p>
            <w:pPr>
              <w:adjustRightInd w:val="0"/>
              <w:snapToGrid w:val="0"/>
              <w:spacing w:line="440" w:lineRule="exact"/>
              <w:ind w:firstLine="480"/>
              <w:jc w:val="left"/>
              <w:rPr>
                <w:rFonts w:ascii="Times New Roman" w:hAnsi="Times New Roman" w:cs="Times New Roman"/>
                <w:szCs w:val="24"/>
              </w:rPr>
            </w:pPr>
          </w:p>
          <w:p>
            <w:pPr>
              <w:adjustRightInd w:val="0"/>
              <w:snapToGrid w:val="0"/>
              <w:spacing w:line="440" w:lineRule="exact"/>
              <w:ind w:firstLine="480"/>
              <w:jc w:val="left"/>
              <w:rPr>
                <w:rFonts w:ascii="Times New Roman" w:hAnsi="Times New Roman" w:cs="Times New Roman"/>
                <w:szCs w:val="24"/>
              </w:rPr>
            </w:pPr>
          </w:p>
          <w:p>
            <w:pPr>
              <w:adjustRightInd w:val="0"/>
              <w:snapToGrid w:val="0"/>
              <w:spacing w:line="440" w:lineRule="exact"/>
              <w:ind w:firstLine="480"/>
              <w:jc w:val="left"/>
              <w:rPr>
                <w:rFonts w:ascii="Times New Roman" w:hAnsi="Times New Roman" w:cs="Times New Roman"/>
                <w:szCs w:val="24"/>
              </w:rPr>
            </w:pPr>
          </w:p>
        </w:tc>
      </w:tr>
    </w:tbl>
    <w:p>
      <w:pPr>
        <w:pStyle w:val="2"/>
        <w:ind w:firstLine="141" w:firstLineChars="50"/>
        <w:jc w:val="left"/>
        <w:rPr>
          <w:rFonts w:ascii="Times New Roman" w:hAnsi="Times New Roman" w:cs="Times New Roman"/>
        </w:rPr>
      </w:pPr>
      <w:r>
        <w:rPr>
          <w:rFonts w:ascii="Times New Roman" w:hAnsi="Times New Roman" w:cs="Times New Roman"/>
        </w:rPr>
        <w:t>项目主要污染物产生及预计排放情况</w:t>
      </w:r>
    </w:p>
    <w:tbl>
      <w:tblPr>
        <w:tblStyle w:val="11"/>
        <w:tblW w:w="9068"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
      <w:tblGrid>
        <w:gridCol w:w="850"/>
        <w:gridCol w:w="1301"/>
        <w:gridCol w:w="1109"/>
        <w:gridCol w:w="1275"/>
        <w:gridCol w:w="993"/>
        <w:gridCol w:w="1275"/>
        <w:gridCol w:w="1134"/>
        <w:gridCol w:w="113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Ex>
        <w:trPr>
          <w:trHeight w:val="454" w:hRule="atLeast"/>
          <w:jc w:val="center"/>
        </w:trPr>
        <w:tc>
          <w:tcPr>
            <w:tcW w:w="850" w:type="dxa"/>
            <w:tcBorders>
              <w:tl2br w:val="single" w:color="000000" w:sz="4" w:space="0"/>
            </w:tcBorders>
            <w:tcMar>
              <w:top w:w="28" w:type="dxa"/>
              <w:left w:w="28" w:type="dxa"/>
              <w:bottom w:w="28" w:type="dxa"/>
              <w:right w:w="28" w:type="dxa"/>
            </w:tcMar>
            <w:vAlign w:val="center"/>
          </w:tcPr>
          <w:p>
            <w:pPr>
              <w:pStyle w:val="12"/>
              <w:spacing w:line="240" w:lineRule="auto"/>
              <w:jc w:val="right"/>
              <w:rPr>
                <w:rFonts w:ascii="Times New Roman" w:hAnsi="Times New Roman" w:cs="Times New Roman"/>
                <w:szCs w:val="21"/>
              </w:rPr>
            </w:pPr>
            <w:r>
              <w:rPr>
                <w:rFonts w:ascii="Times New Roman" w:hAnsi="Times New Roman" w:cs="Times New Roman"/>
                <w:szCs w:val="21"/>
              </w:rPr>
              <w:t>内容</w:t>
            </w:r>
          </w:p>
          <w:p>
            <w:pPr>
              <w:pStyle w:val="12"/>
              <w:spacing w:line="240" w:lineRule="auto"/>
              <w:jc w:val="left"/>
              <w:rPr>
                <w:rFonts w:ascii="Times New Roman" w:hAnsi="Times New Roman" w:cs="Times New Roman"/>
                <w:szCs w:val="21"/>
              </w:rPr>
            </w:pPr>
            <w:r>
              <w:rPr>
                <w:rFonts w:ascii="Times New Roman" w:hAnsi="Times New Roman" w:cs="Times New Roman"/>
                <w:szCs w:val="21"/>
              </w:rPr>
              <w:t>类型</w:t>
            </w:r>
          </w:p>
        </w:tc>
        <w:tc>
          <w:tcPr>
            <w:tcW w:w="1301" w:type="dxa"/>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r>
              <w:rPr>
                <w:rFonts w:ascii="Times New Roman" w:hAnsi="Times New Roman" w:cs="Times New Roman"/>
                <w:iCs/>
                <w:szCs w:val="21"/>
              </w:rPr>
              <w:t>排放源</w:t>
            </w:r>
          </w:p>
          <w:p>
            <w:pPr>
              <w:pStyle w:val="12"/>
              <w:spacing w:line="240" w:lineRule="auto"/>
              <w:rPr>
                <w:rFonts w:ascii="Times New Roman" w:hAnsi="Times New Roman" w:cs="Times New Roman"/>
                <w:iCs/>
                <w:szCs w:val="21"/>
              </w:rPr>
            </w:pPr>
            <w:r>
              <w:rPr>
                <w:rFonts w:ascii="Times New Roman" w:hAnsi="Times New Roman" w:cs="Times New Roman"/>
                <w:iCs/>
                <w:szCs w:val="21"/>
              </w:rPr>
              <w:t>（编号）</w:t>
            </w:r>
          </w:p>
        </w:tc>
        <w:tc>
          <w:tcPr>
            <w:tcW w:w="1109"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污染物</w:t>
            </w:r>
          </w:p>
          <w:p>
            <w:pPr>
              <w:pStyle w:val="12"/>
              <w:spacing w:line="240" w:lineRule="auto"/>
              <w:rPr>
                <w:rFonts w:ascii="Times New Roman" w:hAnsi="Times New Roman" w:cs="Times New Roman"/>
                <w:szCs w:val="21"/>
              </w:rPr>
            </w:pPr>
            <w:r>
              <w:rPr>
                <w:rFonts w:ascii="Times New Roman" w:hAnsi="Times New Roman" w:cs="Times New Roman"/>
                <w:szCs w:val="21"/>
              </w:rPr>
              <w:t>名称</w:t>
            </w:r>
          </w:p>
        </w:tc>
        <w:tc>
          <w:tcPr>
            <w:tcW w:w="1275" w:type="dxa"/>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r>
              <w:rPr>
                <w:rFonts w:ascii="Times New Roman" w:hAnsi="Times New Roman" w:cs="Times New Roman"/>
                <w:iCs/>
                <w:szCs w:val="21"/>
              </w:rPr>
              <w:t>产生浓度</w:t>
            </w:r>
          </w:p>
        </w:tc>
        <w:tc>
          <w:tcPr>
            <w:tcW w:w="993" w:type="dxa"/>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r>
              <w:rPr>
                <w:rFonts w:ascii="Times New Roman" w:hAnsi="Times New Roman" w:cs="Times New Roman"/>
                <w:iCs/>
                <w:szCs w:val="21"/>
              </w:rPr>
              <w:t>产生量</w:t>
            </w:r>
          </w:p>
        </w:tc>
        <w:tc>
          <w:tcPr>
            <w:tcW w:w="1275" w:type="dxa"/>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r>
              <w:rPr>
                <w:rFonts w:ascii="Times New Roman" w:hAnsi="Times New Roman" w:cs="Times New Roman"/>
                <w:iCs/>
                <w:szCs w:val="21"/>
              </w:rPr>
              <w:t>排放浓度</w:t>
            </w:r>
          </w:p>
        </w:tc>
        <w:tc>
          <w:tcPr>
            <w:tcW w:w="1134" w:type="dxa"/>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r>
              <w:rPr>
                <w:rFonts w:ascii="Times New Roman" w:hAnsi="Times New Roman" w:cs="Times New Roman"/>
                <w:iCs/>
                <w:szCs w:val="21"/>
              </w:rPr>
              <w:t>排放量</w:t>
            </w:r>
          </w:p>
        </w:tc>
        <w:tc>
          <w:tcPr>
            <w:tcW w:w="1131" w:type="dxa"/>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r>
              <w:rPr>
                <w:rFonts w:ascii="Times New Roman" w:hAnsi="Times New Roman" w:cs="Times New Roman"/>
                <w:iCs/>
                <w:szCs w:val="21"/>
              </w:rPr>
              <w:t>排放去向</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Ex>
        <w:trPr>
          <w:trHeight w:val="454" w:hRule="atLeast"/>
          <w:jc w:val="center"/>
        </w:trPr>
        <w:tc>
          <w:tcPr>
            <w:tcW w:w="850" w:type="dxa"/>
            <w:vMerge w:val="restart"/>
            <w:tcMar>
              <w:top w:w="28" w:type="dxa"/>
              <w:left w:w="28" w:type="dxa"/>
              <w:bottom w:w="28" w:type="dxa"/>
              <w:right w:w="28" w:type="dxa"/>
            </w:tcMar>
            <w:vAlign w:val="center"/>
          </w:tcPr>
          <w:p>
            <w:pPr>
              <w:pStyle w:val="12"/>
              <w:spacing w:line="240" w:lineRule="auto"/>
              <w:rPr>
                <w:rFonts w:ascii="Times New Roman" w:hAnsi="Times New Roman" w:cs="Times New Roman"/>
                <w:kern w:val="0"/>
                <w:szCs w:val="21"/>
              </w:rPr>
            </w:pPr>
            <w:r>
              <w:rPr>
                <w:rFonts w:ascii="Times New Roman" w:hAnsi="Times New Roman" w:cs="Times New Roman"/>
                <w:kern w:val="0"/>
                <w:szCs w:val="21"/>
              </w:rPr>
              <w:t>大气</w:t>
            </w:r>
          </w:p>
          <w:p>
            <w:pPr>
              <w:pStyle w:val="12"/>
              <w:spacing w:line="240" w:lineRule="auto"/>
              <w:rPr>
                <w:rFonts w:ascii="Times New Roman" w:hAnsi="Times New Roman" w:cs="Times New Roman"/>
                <w:kern w:val="0"/>
                <w:szCs w:val="21"/>
              </w:rPr>
            </w:pPr>
            <w:r>
              <w:rPr>
                <w:rFonts w:ascii="Times New Roman" w:hAnsi="Times New Roman" w:cs="Times New Roman"/>
                <w:kern w:val="0"/>
                <w:szCs w:val="21"/>
              </w:rPr>
              <w:t>污染物</w:t>
            </w:r>
          </w:p>
        </w:tc>
        <w:tc>
          <w:tcPr>
            <w:tcW w:w="1301" w:type="dxa"/>
            <w:vMerge w:val="restart"/>
            <w:tcMar>
              <w:top w:w="28" w:type="dxa"/>
              <w:left w:w="28" w:type="dxa"/>
              <w:bottom w:w="28" w:type="dxa"/>
              <w:right w:w="28" w:type="dxa"/>
            </w:tcMar>
            <w:vAlign w:val="center"/>
          </w:tcPr>
          <w:p>
            <w:pPr>
              <w:pStyle w:val="12"/>
              <w:spacing w:line="240" w:lineRule="auto"/>
              <w:rPr>
                <w:rFonts w:ascii="Times New Roman" w:hAnsi="Times New Roman" w:cs="Times New Roman"/>
                <w:kern w:val="0"/>
                <w:szCs w:val="21"/>
              </w:rPr>
            </w:pPr>
            <w:r>
              <w:rPr>
                <w:rFonts w:ascii="Times New Roman" w:hAnsi="Times New Roman" w:cs="Times New Roman"/>
                <w:kern w:val="0"/>
                <w:szCs w:val="21"/>
              </w:rPr>
              <w:t>生产车间</w:t>
            </w:r>
          </w:p>
        </w:tc>
        <w:tc>
          <w:tcPr>
            <w:tcW w:w="110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颗粒物</w:t>
            </w:r>
          </w:p>
        </w:tc>
        <w:tc>
          <w:tcPr>
            <w:tcW w:w="127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993"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1.28t/a</w:t>
            </w:r>
          </w:p>
        </w:tc>
        <w:tc>
          <w:tcPr>
            <w:tcW w:w="127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1134"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0.013t/a</w:t>
            </w:r>
          </w:p>
        </w:tc>
        <w:tc>
          <w:tcPr>
            <w:tcW w:w="113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无组织排放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Ex>
        <w:trPr>
          <w:trHeight w:val="454" w:hRule="atLeast"/>
          <w:jc w:val="center"/>
        </w:trPr>
        <w:tc>
          <w:tcPr>
            <w:tcW w:w="850"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kern w:val="0"/>
                <w:szCs w:val="21"/>
              </w:rPr>
            </w:pPr>
          </w:p>
        </w:tc>
        <w:tc>
          <w:tcPr>
            <w:tcW w:w="1301"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kern w:val="0"/>
                <w:szCs w:val="21"/>
              </w:rPr>
            </w:pPr>
          </w:p>
        </w:tc>
        <w:tc>
          <w:tcPr>
            <w:tcW w:w="1109"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非甲烷总烃</w:t>
            </w:r>
          </w:p>
        </w:tc>
        <w:tc>
          <w:tcPr>
            <w:tcW w:w="127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993"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4.63t/a</w:t>
            </w:r>
          </w:p>
        </w:tc>
        <w:tc>
          <w:tcPr>
            <w:tcW w:w="127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1134"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4.63t/a</w:t>
            </w:r>
          </w:p>
        </w:tc>
        <w:tc>
          <w:tcPr>
            <w:tcW w:w="1131"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无组织排放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Ex>
        <w:trPr>
          <w:trHeight w:val="454" w:hRule="atLeast"/>
          <w:jc w:val="center"/>
        </w:trPr>
        <w:tc>
          <w:tcPr>
            <w:tcW w:w="850" w:type="dxa"/>
            <w:vMerge w:val="restart"/>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r>
              <w:rPr>
                <w:rFonts w:ascii="Times New Roman" w:hAnsi="Times New Roman" w:cs="Times New Roman"/>
                <w:iCs/>
                <w:szCs w:val="21"/>
              </w:rPr>
              <w:t>水</w:t>
            </w:r>
          </w:p>
          <w:p>
            <w:pPr>
              <w:pStyle w:val="12"/>
              <w:spacing w:line="240" w:lineRule="auto"/>
              <w:rPr>
                <w:rFonts w:ascii="Times New Roman" w:hAnsi="Times New Roman" w:cs="Times New Roman"/>
                <w:iCs/>
                <w:szCs w:val="21"/>
              </w:rPr>
            </w:pPr>
            <w:r>
              <w:rPr>
                <w:rFonts w:ascii="Times New Roman" w:hAnsi="Times New Roman" w:cs="Times New Roman"/>
                <w:iCs/>
                <w:szCs w:val="21"/>
              </w:rPr>
              <w:t>污染物</w:t>
            </w:r>
          </w:p>
        </w:tc>
        <w:tc>
          <w:tcPr>
            <w:tcW w:w="1301" w:type="dxa"/>
            <w:vMerge w:val="restart"/>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r>
              <w:rPr>
                <w:rFonts w:ascii="Times New Roman" w:hAnsi="Times New Roman" w:cs="Times New Roman"/>
                <w:iCs/>
                <w:szCs w:val="21"/>
              </w:rPr>
              <w:t>生产废水</w:t>
            </w:r>
          </w:p>
        </w:tc>
        <w:tc>
          <w:tcPr>
            <w:tcW w:w="1109" w:type="dxa"/>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r>
              <w:rPr>
                <w:rFonts w:ascii="Times New Roman" w:hAnsi="Times New Roman" w:cs="Times New Roman"/>
                <w:iCs/>
                <w:szCs w:val="21"/>
              </w:rPr>
              <w:t>废水量</w:t>
            </w:r>
          </w:p>
        </w:tc>
        <w:tc>
          <w:tcPr>
            <w:tcW w:w="2268" w:type="dxa"/>
            <w:gridSpan w:val="2"/>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3040t/a</w:t>
            </w:r>
          </w:p>
        </w:tc>
        <w:tc>
          <w:tcPr>
            <w:tcW w:w="2409" w:type="dxa"/>
            <w:gridSpan w:val="2"/>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3040t/a</w:t>
            </w:r>
          </w:p>
        </w:tc>
        <w:tc>
          <w:tcPr>
            <w:tcW w:w="1131" w:type="dxa"/>
            <w:vMerge w:val="restart"/>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r>
              <w:rPr>
                <w:rFonts w:ascii="Times New Roman" w:hAnsi="Times New Roman" w:cs="Times New Roman"/>
                <w:iCs/>
                <w:szCs w:val="21"/>
              </w:rPr>
              <w:t>生产废水经企业建设的污水处理系统预处理、生活污水经化粪池预处理后与生产废水一同排入六合区污水处理厂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Ex>
        <w:trPr>
          <w:trHeight w:val="454" w:hRule="atLeast"/>
          <w:jc w:val="center"/>
        </w:trPr>
        <w:tc>
          <w:tcPr>
            <w:tcW w:w="850"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p>
        </w:tc>
        <w:tc>
          <w:tcPr>
            <w:tcW w:w="1301"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p>
        </w:tc>
        <w:tc>
          <w:tcPr>
            <w:tcW w:w="1109" w:type="dxa"/>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r>
              <w:rPr>
                <w:rFonts w:ascii="Times New Roman" w:hAnsi="Times New Roman" w:cs="Times New Roman"/>
                <w:iCs/>
                <w:szCs w:val="21"/>
              </w:rPr>
              <w:t>COD</w:t>
            </w:r>
          </w:p>
        </w:tc>
        <w:tc>
          <w:tcPr>
            <w:tcW w:w="127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634mg/L</w:t>
            </w:r>
          </w:p>
        </w:tc>
        <w:tc>
          <w:tcPr>
            <w:tcW w:w="993"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1.93t/a</w:t>
            </w:r>
          </w:p>
        </w:tc>
        <w:tc>
          <w:tcPr>
            <w:tcW w:w="127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63.4mg/L</w:t>
            </w:r>
          </w:p>
        </w:tc>
        <w:tc>
          <w:tcPr>
            <w:tcW w:w="1134"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0.152t/a</w:t>
            </w:r>
          </w:p>
        </w:tc>
        <w:tc>
          <w:tcPr>
            <w:tcW w:w="1131"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Ex>
        <w:trPr>
          <w:trHeight w:val="454" w:hRule="atLeast"/>
          <w:jc w:val="center"/>
        </w:trPr>
        <w:tc>
          <w:tcPr>
            <w:tcW w:w="850"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p>
        </w:tc>
        <w:tc>
          <w:tcPr>
            <w:tcW w:w="1301"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p>
        </w:tc>
        <w:tc>
          <w:tcPr>
            <w:tcW w:w="1109" w:type="dxa"/>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r>
              <w:rPr>
                <w:rFonts w:ascii="Times New Roman" w:hAnsi="Times New Roman" w:cs="Times New Roman"/>
                <w:iCs/>
                <w:szCs w:val="21"/>
              </w:rPr>
              <w:t>SS</w:t>
            </w:r>
          </w:p>
        </w:tc>
        <w:tc>
          <w:tcPr>
            <w:tcW w:w="127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284mg/L</w:t>
            </w:r>
          </w:p>
        </w:tc>
        <w:tc>
          <w:tcPr>
            <w:tcW w:w="993"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0.96t/a</w:t>
            </w:r>
          </w:p>
        </w:tc>
        <w:tc>
          <w:tcPr>
            <w:tcW w:w="127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42.6mg/L</w:t>
            </w:r>
          </w:p>
        </w:tc>
        <w:tc>
          <w:tcPr>
            <w:tcW w:w="1134"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0.144t/a</w:t>
            </w:r>
          </w:p>
        </w:tc>
        <w:tc>
          <w:tcPr>
            <w:tcW w:w="1131"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Ex>
        <w:trPr>
          <w:trHeight w:val="454" w:hRule="atLeast"/>
          <w:jc w:val="center"/>
        </w:trPr>
        <w:tc>
          <w:tcPr>
            <w:tcW w:w="850"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p>
        </w:tc>
        <w:tc>
          <w:tcPr>
            <w:tcW w:w="1301"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p>
        </w:tc>
        <w:tc>
          <w:tcPr>
            <w:tcW w:w="1109" w:type="dxa"/>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r>
              <w:rPr>
                <w:rFonts w:ascii="Times New Roman" w:hAnsi="Times New Roman" w:cs="Times New Roman"/>
                <w:iCs/>
                <w:szCs w:val="21"/>
              </w:rPr>
              <w:t>石油类</w:t>
            </w:r>
          </w:p>
        </w:tc>
        <w:tc>
          <w:tcPr>
            <w:tcW w:w="127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30mg/L</w:t>
            </w:r>
          </w:p>
        </w:tc>
        <w:tc>
          <w:tcPr>
            <w:tcW w:w="993"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0.09</w:t>
            </w:r>
          </w:p>
        </w:tc>
        <w:tc>
          <w:tcPr>
            <w:tcW w:w="127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12mg/L</w:t>
            </w:r>
          </w:p>
        </w:tc>
        <w:tc>
          <w:tcPr>
            <w:tcW w:w="1134"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0.036t/a</w:t>
            </w:r>
          </w:p>
        </w:tc>
        <w:tc>
          <w:tcPr>
            <w:tcW w:w="1131"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Ex>
        <w:trPr>
          <w:trHeight w:val="454" w:hRule="atLeast"/>
          <w:jc w:val="center"/>
        </w:trPr>
        <w:tc>
          <w:tcPr>
            <w:tcW w:w="850"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p>
        </w:tc>
        <w:tc>
          <w:tcPr>
            <w:tcW w:w="1301" w:type="dxa"/>
            <w:vMerge w:val="restart"/>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r>
              <w:rPr>
                <w:rFonts w:ascii="Times New Roman" w:hAnsi="Times New Roman" w:cs="Times New Roman"/>
                <w:iCs/>
                <w:szCs w:val="21"/>
              </w:rPr>
              <w:t>生活</w:t>
            </w:r>
          </w:p>
          <w:p>
            <w:pPr>
              <w:pStyle w:val="12"/>
              <w:spacing w:line="240" w:lineRule="auto"/>
              <w:rPr>
                <w:rFonts w:ascii="Times New Roman" w:hAnsi="Times New Roman" w:cs="Times New Roman"/>
                <w:iCs/>
                <w:szCs w:val="21"/>
              </w:rPr>
            </w:pPr>
            <w:r>
              <w:rPr>
                <w:rFonts w:ascii="Times New Roman" w:hAnsi="Times New Roman" w:cs="Times New Roman"/>
                <w:iCs/>
                <w:szCs w:val="21"/>
              </w:rPr>
              <w:t>污水</w:t>
            </w:r>
          </w:p>
        </w:tc>
        <w:tc>
          <w:tcPr>
            <w:tcW w:w="1109" w:type="dxa"/>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r>
              <w:rPr>
                <w:rFonts w:ascii="Times New Roman" w:hAnsi="Times New Roman" w:cs="Times New Roman"/>
                <w:iCs/>
                <w:szCs w:val="21"/>
              </w:rPr>
              <w:t>废水量</w:t>
            </w:r>
          </w:p>
        </w:tc>
        <w:tc>
          <w:tcPr>
            <w:tcW w:w="2268" w:type="dxa"/>
            <w:gridSpan w:val="2"/>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12768t/a</w:t>
            </w:r>
          </w:p>
        </w:tc>
        <w:tc>
          <w:tcPr>
            <w:tcW w:w="2409" w:type="dxa"/>
            <w:gridSpan w:val="2"/>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12768t/a</w:t>
            </w:r>
          </w:p>
        </w:tc>
        <w:tc>
          <w:tcPr>
            <w:tcW w:w="1131"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Ex>
        <w:trPr>
          <w:trHeight w:val="454" w:hRule="atLeast"/>
          <w:jc w:val="center"/>
        </w:trPr>
        <w:tc>
          <w:tcPr>
            <w:tcW w:w="850"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p>
        </w:tc>
        <w:tc>
          <w:tcPr>
            <w:tcW w:w="1301"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p>
        </w:tc>
        <w:tc>
          <w:tcPr>
            <w:tcW w:w="1109" w:type="dxa"/>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r>
              <w:rPr>
                <w:rFonts w:ascii="Times New Roman" w:hAnsi="Times New Roman" w:cs="Times New Roman"/>
                <w:iCs/>
                <w:szCs w:val="21"/>
              </w:rPr>
              <w:t>COD</w:t>
            </w:r>
          </w:p>
        </w:tc>
        <w:tc>
          <w:tcPr>
            <w:tcW w:w="127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400mg/L</w:t>
            </w:r>
          </w:p>
        </w:tc>
        <w:tc>
          <w:tcPr>
            <w:tcW w:w="993"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5.1t/a</w:t>
            </w:r>
          </w:p>
        </w:tc>
        <w:tc>
          <w:tcPr>
            <w:tcW w:w="127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400mg/L</w:t>
            </w:r>
          </w:p>
        </w:tc>
        <w:tc>
          <w:tcPr>
            <w:tcW w:w="1134"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5.1t/a</w:t>
            </w:r>
          </w:p>
        </w:tc>
        <w:tc>
          <w:tcPr>
            <w:tcW w:w="1131"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Ex>
        <w:trPr>
          <w:trHeight w:val="454" w:hRule="atLeast"/>
          <w:jc w:val="center"/>
        </w:trPr>
        <w:tc>
          <w:tcPr>
            <w:tcW w:w="850"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p>
        </w:tc>
        <w:tc>
          <w:tcPr>
            <w:tcW w:w="1301"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p>
        </w:tc>
        <w:tc>
          <w:tcPr>
            <w:tcW w:w="1109" w:type="dxa"/>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r>
              <w:rPr>
                <w:rFonts w:ascii="Times New Roman" w:hAnsi="Times New Roman" w:cs="Times New Roman"/>
                <w:position w:val="2"/>
                <w:szCs w:val="21"/>
              </w:rPr>
              <w:t>NH</w:t>
            </w:r>
            <w:r>
              <w:rPr>
                <w:rFonts w:ascii="Times New Roman" w:hAnsi="Times New Roman" w:cs="Times New Roman"/>
                <w:szCs w:val="21"/>
                <w:vertAlign w:val="subscript"/>
              </w:rPr>
              <w:t>3</w:t>
            </w:r>
            <w:r>
              <w:rPr>
                <w:rFonts w:ascii="Times New Roman" w:hAnsi="Times New Roman" w:cs="Times New Roman"/>
                <w:position w:val="2"/>
                <w:szCs w:val="21"/>
              </w:rPr>
              <w:t>-N</w:t>
            </w:r>
          </w:p>
        </w:tc>
        <w:tc>
          <w:tcPr>
            <w:tcW w:w="127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30mg/L</w:t>
            </w:r>
          </w:p>
        </w:tc>
        <w:tc>
          <w:tcPr>
            <w:tcW w:w="993"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0.38t/a</w:t>
            </w:r>
          </w:p>
        </w:tc>
        <w:tc>
          <w:tcPr>
            <w:tcW w:w="127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30mg/L</w:t>
            </w:r>
          </w:p>
        </w:tc>
        <w:tc>
          <w:tcPr>
            <w:tcW w:w="1134"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0.38t/a</w:t>
            </w:r>
          </w:p>
        </w:tc>
        <w:tc>
          <w:tcPr>
            <w:tcW w:w="1131"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Ex>
        <w:trPr>
          <w:trHeight w:val="454" w:hRule="atLeast"/>
          <w:jc w:val="center"/>
        </w:trPr>
        <w:tc>
          <w:tcPr>
            <w:tcW w:w="850"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p>
        </w:tc>
        <w:tc>
          <w:tcPr>
            <w:tcW w:w="1301"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p>
        </w:tc>
        <w:tc>
          <w:tcPr>
            <w:tcW w:w="1109" w:type="dxa"/>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r>
              <w:rPr>
                <w:rFonts w:ascii="Times New Roman" w:hAnsi="Times New Roman" w:cs="Times New Roman"/>
                <w:position w:val="2"/>
                <w:szCs w:val="21"/>
              </w:rPr>
              <w:t>SS</w:t>
            </w:r>
          </w:p>
        </w:tc>
        <w:tc>
          <w:tcPr>
            <w:tcW w:w="127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250mg/L</w:t>
            </w:r>
          </w:p>
        </w:tc>
        <w:tc>
          <w:tcPr>
            <w:tcW w:w="993"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3.19t/a</w:t>
            </w:r>
          </w:p>
        </w:tc>
        <w:tc>
          <w:tcPr>
            <w:tcW w:w="127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250mg/L</w:t>
            </w:r>
          </w:p>
        </w:tc>
        <w:tc>
          <w:tcPr>
            <w:tcW w:w="1134"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3.19t/a</w:t>
            </w:r>
          </w:p>
        </w:tc>
        <w:tc>
          <w:tcPr>
            <w:tcW w:w="1131"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Ex>
        <w:trPr>
          <w:trHeight w:val="454" w:hRule="atLeast"/>
          <w:jc w:val="center"/>
        </w:trPr>
        <w:tc>
          <w:tcPr>
            <w:tcW w:w="850"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p>
        </w:tc>
        <w:tc>
          <w:tcPr>
            <w:tcW w:w="1301"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p>
        </w:tc>
        <w:tc>
          <w:tcPr>
            <w:tcW w:w="1109" w:type="dxa"/>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r>
              <w:rPr>
                <w:rFonts w:ascii="Times New Roman" w:hAnsi="Times New Roman" w:cs="Times New Roman"/>
                <w:position w:val="2"/>
                <w:szCs w:val="21"/>
              </w:rPr>
              <w:t>TP</w:t>
            </w:r>
          </w:p>
        </w:tc>
        <w:tc>
          <w:tcPr>
            <w:tcW w:w="127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4mg/L</w:t>
            </w:r>
          </w:p>
        </w:tc>
        <w:tc>
          <w:tcPr>
            <w:tcW w:w="993"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0.05t/a</w:t>
            </w:r>
          </w:p>
        </w:tc>
        <w:tc>
          <w:tcPr>
            <w:tcW w:w="1275"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4mg/L</w:t>
            </w:r>
          </w:p>
        </w:tc>
        <w:tc>
          <w:tcPr>
            <w:tcW w:w="1134" w:type="dxa"/>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0.05t/a</w:t>
            </w:r>
          </w:p>
        </w:tc>
        <w:tc>
          <w:tcPr>
            <w:tcW w:w="1131"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Ex>
        <w:trPr>
          <w:trHeight w:val="454" w:hRule="atLeast"/>
          <w:jc w:val="center"/>
        </w:trPr>
        <w:tc>
          <w:tcPr>
            <w:tcW w:w="850" w:type="dxa"/>
            <w:vMerge w:val="restart"/>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r>
              <w:rPr>
                <w:rFonts w:ascii="Times New Roman" w:hAnsi="Times New Roman" w:cs="Times New Roman"/>
                <w:iCs/>
                <w:szCs w:val="21"/>
              </w:rPr>
              <w:t>固体</w:t>
            </w:r>
          </w:p>
          <w:p>
            <w:pPr>
              <w:pStyle w:val="12"/>
              <w:spacing w:line="240" w:lineRule="auto"/>
              <w:rPr>
                <w:rFonts w:ascii="Times New Roman" w:hAnsi="Times New Roman" w:cs="Times New Roman"/>
                <w:iCs/>
                <w:szCs w:val="21"/>
              </w:rPr>
            </w:pPr>
            <w:r>
              <w:rPr>
                <w:rFonts w:ascii="Times New Roman" w:hAnsi="Times New Roman" w:cs="Times New Roman"/>
                <w:iCs/>
                <w:szCs w:val="21"/>
              </w:rPr>
              <w:t>废物</w:t>
            </w:r>
          </w:p>
        </w:tc>
        <w:tc>
          <w:tcPr>
            <w:tcW w:w="2410" w:type="dxa"/>
            <w:gridSpan w:val="2"/>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r>
              <w:rPr>
                <w:rFonts w:ascii="Times New Roman" w:hAnsi="Times New Roman" w:cs="Times New Roman"/>
                <w:iCs/>
                <w:szCs w:val="21"/>
              </w:rPr>
              <w:t>一般固废</w:t>
            </w:r>
          </w:p>
        </w:tc>
        <w:tc>
          <w:tcPr>
            <w:tcW w:w="2268" w:type="dxa"/>
            <w:gridSpan w:val="2"/>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58.81t/a</w:t>
            </w:r>
          </w:p>
        </w:tc>
        <w:tc>
          <w:tcPr>
            <w:tcW w:w="3540" w:type="dxa"/>
            <w:gridSpan w:val="3"/>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r>
              <w:rPr>
                <w:rFonts w:ascii="Times New Roman" w:hAnsi="Times New Roman" w:cs="Times New Roman"/>
                <w:iCs/>
                <w:szCs w:val="21"/>
              </w:rPr>
              <w:t>不外排</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Ex>
        <w:trPr>
          <w:trHeight w:val="454" w:hRule="atLeast"/>
          <w:jc w:val="center"/>
        </w:trPr>
        <w:tc>
          <w:tcPr>
            <w:tcW w:w="850"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p>
        </w:tc>
        <w:tc>
          <w:tcPr>
            <w:tcW w:w="2410" w:type="dxa"/>
            <w:gridSpan w:val="2"/>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r>
              <w:rPr>
                <w:rFonts w:ascii="Times New Roman" w:hAnsi="Times New Roman" w:cs="Times New Roman"/>
                <w:iCs/>
                <w:szCs w:val="21"/>
              </w:rPr>
              <w:t>危险固废</w:t>
            </w:r>
          </w:p>
        </w:tc>
        <w:tc>
          <w:tcPr>
            <w:tcW w:w="2268" w:type="dxa"/>
            <w:gridSpan w:val="2"/>
            <w:tcMar>
              <w:top w:w="28" w:type="dxa"/>
              <w:left w:w="28" w:type="dxa"/>
              <w:bottom w:w="28" w:type="dxa"/>
              <w:right w:w="28" w:type="dxa"/>
            </w:tcMar>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10.5t/a</w:t>
            </w:r>
          </w:p>
        </w:tc>
        <w:tc>
          <w:tcPr>
            <w:tcW w:w="3540" w:type="dxa"/>
            <w:gridSpan w:val="3"/>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r>
              <w:rPr>
                <w:rFonts w:ascii="Times New Roman" w:hAnsi="Times New Roman" w:cs="Times New Roman"/>
                <w:iCs/>
                <w:szCs w:val="21"/>
              </w:rPr>
              <w:t>不外排</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Ex>
        <w:trPr>
          <w:trHeight w:val="454" w:hRule="atLeast"/>
          <w:jc w:val="center"/>
        </w:trPr>
        <w:tc>
          <w:tcPr>
            <w:tcW w:w="850"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p>
        </w:tc>
        <w:tc>
          <w:tcPr>
            <w:tcW w:w="2410" w:type="dxa"/>
            <w:gridSpan w:val="2"/>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r>
              <w:rPr>
                <w:rFonts w:ascii="Times New Roman" w:hAnsi="Times New Roman" w:cs="Times New Roman"/>
                <w:iCs/>
                <w:szCs w:val="21"/>
              </w:rPr>
              <w:t>生活垃圾</w:t>
            </w:r>
          </w:p>
        </w:tc>
        <w:tc>
          <w:tcPr>
            <w:tcW w:w="2268" w:type="dxa"/>
            <w:gridSpan w:val="2"/>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r>
              <w:rPr>
                <w:rFonts w:ascii="Times New Roman" w:hAnsi="Times New Roman" w:cs="Times New Roman"/>
                <w:iCs/>
                <w:szCs w:val="21"/>
              </w:rPr>
              <w:t>160t/a</w:t>
            </w:r>
          </w:p>
        </w:tc>
        <w:tc>
          <w:tcPr>
            <w:tcW w:w="3540" w:type="dxa"/>
            <w:gridSpan w:val="3"/>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环卫部门处理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Ex>
        <w:trPr>
          <w:trHeight w:val="454" w:hRule="atLeast"/>
          <w:jc w:val="center"/>
        </w:trPr>
        <w:tc>
          <w:tcPr>
            <w:tcW w:w="850" w:type="dxa"/>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r>
              <w:rPr>
                <w:rFonts w:ascii="Times New Roman" w:hAnsi="Times New Roman" w:cs="Times New Roman"/>
                <w:iCs/>
                <w:szCs w:val="21"/>
              </w:rPr>
              <w:t>噪声</w:t>
            </w:r>
          </w:p>
        </w:tc>
        <w:tc>
          <w:tcPr>
            <w:tcW w:w="8218" w:type="dxa"/>
            <w:gridSpan w:val="7"/>
            <w:tcMar>
              <w:top w:w="28" w:type="dxa"/>
              <w:left w:w="28" w:type="dxa"/>
              <w:bottom w:w="28" w:type="dxa"/>
              <w:right w:w="28" w:type="dxa"/>
            </w:tcMar>
            <w:vAlign w:val="center"/>
          </w:tcPr>
          <w:p>
            <w:pPr>
              <w:pStyle w:val="12"/>
              <w:spacing w:line="240" w:lineRule="auto"/>
              <w:jc w:val="left"/>
              <w:rPr>
                <w:rFonts w:ascii="Times New Roman" w:hAnsi="Times New Roman" w:cs="Times New Roman"/>
                <w:iCs/>
                <w:szCs w:val="21"/>
              </w:rPr>
            </w:pPr>
            <w:r>
              <w:rPr>
                <w:rFonts w:ascii="Times New Roman" w:hAnsi="Times New Roman" w:cs="Times New Roman"/>
                <w:iCs/>
                <w:szCs w:val="21"/>
              </w:rPr>
              <w:t xml:space="preserve">    项目运营期噪声源主要为设备运行时产生的噪声，噪声源强约为70~95dB(A)。采用低噪声设备，经厂房隔音、距离衰减后，预计边界噪声可以达到《工业企业厂界环境噪声排放标准》（GB12348-2008）2类标准。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Ex>
        <w:trPr>
          <w:trHeight w:val="454" w:hRule="atLeast"/>
          <w:jc w:val="center"/>
        </w:trPr>
        <w:tc>
          <w:tcPr>
            <w:tcW w:w="850" w:type="dxa"/>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r>
              <w:rPr>
                <w:rFonts w:ascii="Times New Roman" w:hAnsi="Times New Roman" w:cs="Times New Roman"/>
                <w:iCs/>
                <w:szCs w:val="21"/>
              </w:rPr>
              <w:t>其他</w:t>
            </w:r>
          </w:p>
        </w:tc>
        <w:tc>
          <w:tcPr>
            <w:tcW w:w="8218" w:type="dxa"/>
            <w:gridSpan w:val="7"/>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r>
              <w:rPr>
                <w:rFonts w:ascii="Times New Roman" w:hAnsi="Times New Roman" w:cs="Times New Roman"/>
                <w:iCs/>
                <w:szCs w:val="21"/>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Ex>
        <w:trPr>
          <w:trHeight w:val="399" w:hRule="atLeast"/>
          <w:jc w:val="center"/>
        </w:trPr>
        <w:tc>
          <w:tcPr>
            <w:tcW w:w="9068" w:type="dxa"/>
            <w:gridSpan w:val="8"/>
            <w:tcMar>
              <w:top w:w="28" w:type="dxa"/>
              <w:left w:w="28" w:type="dxa"/>
              <w:bottom w:w="28" w:type="dxa"/>
              <w:right w:w="28" w:type="dxa"/>
            </w:tcMar>
            <w:vAlign w:val="center"/>
          </w:tcPr>
          <w:p>
            <w:pPr>
              <w:spacing w:before="60" w:beforeLines="25" w:after="60" w:afterLines="25" w:line="240" w:lineRule="auto"/>
              <w:ind w:firstLine="0" w:firstLineChars="0"/>
              <w:rPr>
                <w:rFonts w:ascii="Times New Roman" w:hAnsi="Times New Roman" w:cs="Times New Roman"/>
                <w:b/>
                <w:szCs w:val="20"/>
              </w:rPr>
            </w:pPr>
            <w:r>
              <w:rPr>
                <w:rFonts w:ascii="Times New Roman" w:hAnsi="Times New Roman" w:cs="Times New Roman"/>
                <w:b/>
                <w:szCs w:val="20"/>
              </w:rPr>
              <w:t>主要生态影响：</w:t>
            </w:r>
          </w:p>
          <w:p>
            <w:pPr>
              <w:autoSpaceDE w:val="0"/>
              <w:autoSpaceDN w:val="0"/>
              <w:adjustRightInd w:val="0"/>
              <w:snapToGrid w:val="0"/>
              <w:spacing w:line="440" w:lineRule="exact"/>
              <w:ind w:firstLine="512"/>
              <w:rPr>
                <w:rFonts w:ascii="Times New Roman" w:hAnsi="Times New Roman" w:cs="Times New Roman"/>
                <w:bCs/>
                <w:spacing w:val="8"/>
                <w:szCs w:val="24"/>
              </w:rPr>
            </w:pPr>
            <w:r>
              <w:rPr>
                <w:rFonts w:ascii="Times New Roman" w:hAnsi="Times New Roman" w:cs="Times New Roman"/>
                <w:bCs/>
                <w:spacing w:val="8"/>
                <w:szCs w:val="24"/>
              </w:rPr>
              <w:t>项目施工期场地开挖、施工临时占地对生态造成一定影响，包括水土流失、植被破坏等，施工期结束后进行土壤回填和种植绿植，对生态环境影响也随施工期结束而消失。运营期产生的废气、废水、噪声均能达标排放，固废得到妥善处理，对区域生态环境影响较小。</w:t>
            </w:r>
          </w:p>
          <w:p>
            <w:pPr>
              <w:pStyle w:val="12"/>
              <w:spacing w:line="240" w:lineRule="auto"/>
              <w:ind w:firstLine="480" w:firstLineChars="200"/>
              <w:jc w:val="both"/>
              <w:rPr>
                <w:rFonts w:ascii="Times New Roman" w:hAnsi="Times New Roman" w:cs="Times New Roman"/>
                <w:iCs/>
                <w:sz w:val="24"/>
                <w:szCs w:val="24"/>
              </w:rPr>
            </w:pPr>
          </w:p>
          <w:p>
            <w:pPr>
              <w:pStyle w:val="12"/>
              <w:spacing w:line="240" w:lineRule="auto"/>
              <w:ind w:firstLine="480" w:firstLineChars="200"/>
              <w:jc w:val="both"/>
              <w:rPr>
                <w:rFonts w:ascii="Times New Roman" w:hAnsi="Times New Roman" w:cs="Times New Roman"/>
                <w:iCs/>
                <w:sz w:val="24"/>
                <w:szCs w:val="24"/>
              </w:rPr>
            </w:pPr>
          </w:p>
          <w:p>
            <w:pPr>
              <w:pStyle w:val="12"/>
              <w:spacing w:line="240" w:lineRule="auto"/>
              <w:rPr>
                <w:rFonts w:ascii="Times New Roman" w:hAnsi="Times New Roman" w:cs="Times New Roman"/>
                <w:iCs/>
                <w:sz w:val="24"/>
                <w:szCs w:val="24"/>
              </w:rPr>
            </w:pPr>
          </w:p>
          <w:p>
            <w:pPr>
              <w:pStyle w:val="12"/>
              <w:spacing w:line="240" w:lineRule="auto"/>
              <w:rPr>
                <w:rFonts w:ascii="Times New Roman" w:hAnsi="Times New Roman" w:cs="Times New Roman"/>
                <w:iCs/>
                <w:sz w:val="24"/>
                <w:szCs w:val="24"/>
              </w:rPr>
            </w:pPr>
          </w:p>
          <w:p>
            <w:pPr>
              <w:pStyle w:val="12"/>
              <w:spacing w:line="240" w:lineRule="auto"/>
              <w:rPr>
                <w:rFonts w:ascii="Times New Roman" w:hAnsi="Times New Roman" w:cs="Times New Roman"/>
                <w:iCs/>
                <w:sz w:val="24"/>
                <w:szCs w:val="24"/>
              </w:rPr>
            </w:pPr>
          </w:p>
          <w:p>
            <w:pPr>
              <w:pStyle w:val="12"/>
              <w:spacing w:line="240" w:lineRule="auto"/>
              <w:rPr>
                <w:rFonts w:ascii="Times New Roman" w:hAnsi="Times New Roman" w:cs="Times New Roman"/>
                <w:iCs/>
                <w:sz w:val="24"/>
                <w:szCs w:val="24"/>
              </w:rPr>
            </w:pPr>
          </w:p>
          <w:p>
            <w:pPr>
              <w:pStyle w:val="12"/>
              <w:spacing w:line="240" w:lineRule="auto"/>
              <w:rPr>
                <w:rFonts w:ascii="Times New Roman" w:hAnsi="Times New Roman" w:cs="Times New Roman"/>
                <w:iCs/>
                <w:sz w:val="24"/>
                <w:szCs w:val="24"/>
              </w:rPr>
            </w:pPr>
          </w:p>
        </w:tc>
      </w:tr>
    </w:tbl>
    <w:p>
      <w:pPr>
        <w:pStyle w:val="2"/>
        <w:jc w:val="left"/>
        <w:rPr>
          <w:rFonts w:ascii="Times New Roman" w:hAnsi="Times New Roman" w:cs="Times New Roman"/>
        </w:rPr>
      </w:pPr>
      <w:r>
        <w:rPr>
          <w:rFonts w:ascii="Times New Roman" w:hAnsi="Times New Roman" w:cs="Times New Roman"/>
        </w:rPr>
        <w:t>环境影响分析</w:t>
      </w:r>
    </w:p>
    <w:tbl>
      <w:tblPr>
        <w:tblStyle w:val="11"/>
        <w:tblW w:w="9098" w:type="dxa"/>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 w:hRule="atLeast"/>
        </w:trPr>
        <w:tc>
          <w:tcPr>
            <w:tcW w:w="9098" w:type="dxa"/>
            <w:tcMar>
              <w:top w:w="28" w:type="dxa"/>
              <w:left w:w="28" w:type="dxa"/>
              <w:bottom w:w="28" w:type="dxa"/>
              <w:right w:w="28" w:type="dxa"/>
            </w:tcMar>
          </w:tcPr>
          <w:p>
            <w:pPr>
              <w:spacing w:before="60" w:beforeLines="25" w:after="60" w:afterLines="25" w:line="240" w:lineRule="auto"/>
              <w:ind w:firstLine="0" w:firstLineChars="0"/>
              <w:rPr>
                <w:rFonts w:ascii="Times New Roman" w:hAnsi="Times New Roman" w:cs="Times New Roman"/>
                <w:b/>
              </w:rPr>
            </w:pPr>
            <w:r>
              <w:rPr>
                <w:rFonts w:ascii="Times New Roman" w:hAnsi="Times New Roman" w:cs="Times New Roman"/>
                <w:b/>
              </w:rPr>
              <w:t>施工期环境影响分析：</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1、大气环境影响分析</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建筑施工工地扬尘主要发生在建材堆放、车辆行驶、场地开挖施工等环节，虽然源强较多，但源强都较小，通过洒水抑尘、硬化道路、修建围墙、用塑料纱布等一系列措施后，扬尘能得到很好控制，排放浓度不超过</w:t>
            </w:r>
            <w:r>
              <w:rPr>
                <w:rFonts w:ascii="Times New Roman" w:hAnsi="Times New Roman" w:cs="Times New Roman"/>
              </w:rPr>
              <w:t>浓度1.0</w:t>
            </w:r>
            <w:r>
              <w:rPr>
                <w:rFonts w:ascii="Times New Roman" w:hAnsi="Times New Roman" w:cs="Times New Roman"/>
                <w:bCs/>
                <w:szCs w:val="24"/>
              </w:rPr>
              <w:t>mg/m</w:t>
            </w:r>
            <w:r>
              <w:rPr>
                <w:rFonts w:ascii="Times New Roman" w:hAnsi="Times New Roman" w:cs="Times New Roman"/>
                <w:bCs/>
                <w:szCs w:val="24"/>
                <w:vertAlign w:val="superscript"/>
              </w:rPr>
              <w:t>3</w:t>
            </w:r>
            <w:r>
              <w:rPr>
                <w:rFonts w:ascii="Times New Roman" w:hAnsi="Times New Roman" w:cs="Times New Roman"/>
              </w:rPr>
              <w:t>，满足</w:t>
            </w:r>
            <w:r>
              <w:rPr>
                <w:rFonts w:ascii="Times New Roman" w:hAnsi="Times New Roman" w:cs="Times New Roman"/>
                <w:snapToGrid w:val="0"/>
                <w:kern w:val="0"/>
              </w:rPr>
              <w:t>《大气污染物综合排放标准》（GB16297-1996）要求，</w:t>
            </w:r>
            <w:r>
              <w:rPr>
                <w:rFonts w:ascii="Times New Roman" w:hAnsi="Times New Roman" w:cs="Times New Roman"/>
                <w:szCs w:val="24"/>
              </w:rPr>
              <w:t>对周边大气环境影响较小。</w:t>
            </w:r>
          </w:p>
          <w:p>
            <w:pPr>
              <w:adjustRightInd w:val="0"/>
              <w:snapToGrid w:val="0"/>
              <w:spacing w:line="440" w:lineRule="exact"/>
              <w:ind w:firstLine="480"/>
              <w:jc w:val="left"/>
              <w:rPr>
                <w:rFonts w:ascii="Times New Roman" w:hAnsi="Times New Roman" w:cs="Times New Roman"/>
                <w:bCs/>
                <w:szCs w:val="24"/>
              </w:rPr>
            </w:pPr>
            <w:r>
              <w:rPr>
                <w:rFonts w:ascii="Times New Roman" w:hAnsi="Times New Roman" w:cs="Times New Roman"/>
                <w:bCs/>
                <w:szCs w:val="24"/>
              </w:rPr>
              <w:t>2、水环境影响分析</w:t>
            </w:r>
          </w:p>
          <w:p>
            <w:pPr>
              <w:pStyle w:val="17"/>
              <w:spacing w:line="440" w:lineRule="exact"/>
              <w:ind w:firstLine="480" w:firstLineChars="200"/>
              <w:rPr>
                <w:rFonts w:ascii="Times New Roman" w:hAnsi="Times New Roman" w:cs="Times New Roman"/>
                <w:bCs/>
                <w:szCs w:val="24"/>
              </w:rPr>
            </w:pPr>
            <w:r>
              <w:rPr>
                <w:rFonts w:ascii="Times New Roman" w:hAnsi="Times New Roman" w:cs="Times New Roman"/>
              </w:rPr>
              <w:t>施工期废水主要为生活污水和施工废水。工地内设移动厕所，定期由当地环卫部门清运处置。</w:t>
            </w:r>
            <w:r>
              <w:rPr>
                <w:rFonts w:ascii="Times New Roman" w:hAnsi="Times New Roman" w:cs="Times New Roman"/>
                <w:bCs/>
              </w:rPr>
              <w:t>施工废水主要由施工机械设备清洗等产生，主要污染物为</w:t>
            </w:r>
            <w:r>
              <w:rPr>
                <w:rFonts w:ascii="Times New Roman" w:hAnsi="Times New Roman" w:cs="Times New Roman"/>
                <w:bCs/>
                <w:szCs w:val="24"/>
              </w:rPr>
              <w:t>SS，经过沉淀后全部用于场区洒水抑尘、绿化浇灌等，不外排。采取上述措施后，施工期的废水均能够得到有效处置，不会对区域水环境产生明显影响。</w:t>
            </w:r>
          </w:p>
          <w:p>
            <w:pPr>
              <w:adjustRightInd w:val="0"/>
              <w:snapToGrid w:val="0"/>
              <w:spacing w:line="440" w:lineRule="exact"/>
              <w:ind w:firstLine="480"/>
              <w:jc w:val="left"/>
              <w:rPr>
                <w:rFonts w:ascii="Times New Roman" w:hAnsi="Times New Roman" w:cs="Times New Roman"/>
                <w:bCs/>
                <w:szCs w:val="24"/>
              </w:rPr>
            </w:pPr>
            <w:r>
              <w:rPr>
                <w:rFonts w:ascii="Times New Roman" w:hAnsi="Times New Roman" w:cs="Times New Roman"/>
                <w:bCs/>
                <w:szCs w:val="24"/>
              </w:rPr>
              <w:t>3、固体废弃物环境影响分析</w:t>
            </w:r>
          </w:p>
          <w:p>
            <w:pPr>
              <w:pStyle w:val="17"/>
              <w:spacing w:line="440" w:lineRule="exact"/>
              <w:ind w:firstLine="480" w:firstLineChars="200"/>
              <w:rPr>
                <w:rFonts w:ascii="Times New Roman" w:hAnsi="Times New Roman" w:cs="Times New Roman"/>
              </w:rPr>
            </w:pPr>
            <w:r>
              <w:rPr>
                <w:rFonts w:ascii="Times New Roman" w:hAnsi="Times New Roman" w:cs="Times New Roman"/>
              </w:rPr>
              <w:t>项目施工期产生的建筑垃圾预计5t，生活垃圾预计产生量为25kg/d。</w:t>
            </w:r>
          </w:p>
          <w:p>
            <w:pPr>
              <w:adjustRightInd w:val="0"/>
              <w:snapToGrid w:val="0"/>
              <w:spacing w:line="440" w:lineRule="exact"/>
              <w:ind w:firstLine="480"/>
              <w:jc w:val="left"/>
              <w:rPr>
                <w:rFonts w:ascii="Times New Roman" w:hAnsi="Times New Roman" w:cs="Times New Roman"/>
                <w:bCs/>
                <w:szCs w:val="24"/>
              </w:rPr>
            </w:pPr>
            <w:r>
              <w:rPr>
                <w:rFonts w:ascii="Times New Roman" w:hAnsi="Times New Roman" w:cs="Times New Roman"/>
                <w:bCs/>
                <w:szCs w:val="24"/>
              </w:rPr>
              <w:t>为减少施工期固体废物对周围环境的影响，施工时采取以下污染控制措施：</w:t>
            </w:r>
          </w:p>
          <w:p>
            <w:pPr>
              <w:adjustRightInd w:val="0"/>
              <w:snapToGrid w:val="0"/>
              <w:spacing w:line="440" w:lineRule="exact"/>
              <w:ind w:firstLine="480"/>
              <w:jc w:val="left"/>
              <w:rPr>
                <w:rFonts w:ascii="Times New Roman" w:hAnsi="Times New Roman" w:cs="Times New Roman"/>
                <w:bCs/>
                <w:szCs w:val="24"/>
              </w:rPr>
            </w:pPr>
            <w:r>
              <w:rPr>
                <w:rFonts w:ascii="Times New Roman" w:hAnsi="Times New Roman" w:cs="Times New Roman"/>
                <w:bCs/>
                <w:szCs w:val="24"/>
              </w:rPr>
              <w:t>（1）建筑垃圾：施工中产生的建筑垃圾要分类回收处置，严禁向附近水体倾倒建筑垃圾。</w:t>
            </w:r>
          </w:p>
          <w:p>
            <w:pPr>
              <w:adjustRightInd w:val="0"/>
              <w:snapToGrid w:val="0"/>
              <w:spacing w:line="440" w:lineRule="exact"/>
              <w:ind w:firstLine="480"/>
              <w:jc w:val="left"/>
              <w:rPr>
                <w:rFonts w:ascii="Times New Roman" w:hAnsi="Times New Roman" w:cs="Times New Roman"/>
                <w:bCs/>
                <w:szCs w:val="24"/>
              </w:rPr>
            </w:pPr>
            <w:r>
              <w:rPr>
                <w:rFonts w:ascii="Times New Roman" w:hAnsi="Times New Roman" w:cs="Times New Roman"/>
                <w:bCs/>
                <w:szCs w:val="24"/>
              </w:rPr>
              <w:t>（2）生活垃圾：施工人员生活垃圾集中堆放，定期送往城市垃圾中转站，最后送至垃圾处理场集中处置。严禁随意倾倒生活垃圾。</w:t>
            </w:r>
          </w:p>
          <w:p>
            <w:pPr>
              <w:adjustRightInd w:val="0"/>
              <w:snapToGrid w:val="0"/>
              <w:spacing w:line="440" w:lineRule="exact"/>
              <w:ind w:firstLine="480"/>
              <w:jc w:val="left"/>
              <w:rPr>
                <w:rFonts w:ascii="Times New Roman" w:hAnsi="Times New Roman" w:cs="Times New Roman"/>
                <w:bCs/>
                <w:szCs w:val="24"/>
              </w:rPr>
            </w:pPr>
            <w:r>
              <w:rPr>
                <w:rFonts w:ascii="Times New Roman" w:hAnsi="Times New Roman" w:cs="Times New Roman"/>
                <w:bCs/>
                <w:szCs w:val="24"/>
              </w:rPr>
              <w:t>采取以上措施后，建设项目产生的固废对环境的影响较小，且随施工前的结束，影响即可消失。</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4、噪声影响分析</w:t>
            </w:r>
          </w:p>
          <w:p>
            <w:pPr>
              <w:pStyle w:val="17"/>
              <w:spacing w:line="440" w:lineRule="exact"/>
              <w:ind w:firstLine="480" w:firstLineChars="200"/>
              <w:rPr>
                <w:rFonts w:ascii="Times New Roman" w:hAnsi="Times New Roman" w:cs="Times New Roman"/>
                <w:bCs/>
                <w:szCs w:val="24"/>
              </w:rPr>
            </w:pPr>
            <w:r>
              <w:rPr>
                <w:rFonts w:ascii="Times New Roman" w:hAnsi="Times New Roman" w:cs="Times New Roman"/>
              </w:rPr>
              <w:t>噪声主要来源于施工机械设备，源强约为80~90dB（A）。</w:t>
            </w:r>
            <w:r>
              <w:rPr>
                <w:rFonts w:ascii="Times New Roman" w:hAnsi="Times New Roman" w:cs="Times New Roman"/>
                <w:bCs/>
                <w:szCs w:val="24"/>
              </w:rPr>
              <w:t>根据《中华人民共和国环境噪声污染防治法》的要求，施工期间做好如下噪声污染防治工作：</w:t>
            </w:r>
          </w:p>
          <w:p>
            <w:pPr>
              <w:adjustRightInd w:val="0"/>
              <w:snapToGrid w:val="0"/>
              <w:spacing w:line="440" w:lineRule="exact"/>
              <w:ind w:firstLine="480"/>
              <w:jc w:val="left"/>
              <w:rPr>
                <w:rFonts w:ascii="Times New Roman" w:hAnsi="Times New Roman" w:cs="Times New Roman"/>
                <w:bCs/>
                <w:szCs w:val="24"/>
              </w:rPr>
            </w:pPr>
            <w:r>
              <w:rPr>
                <w:rFonts w:ascii="Times New Roman" w:hAnsi="Times New Roman" w:cs="Times New Roman"/>
                <w:bCs/>
                <w:szCs w:val="24"/>
              </w:rPr>
              <w:t>（1）高噪声设备运转时，应进行隔声、减震降噪；</w:t>
            </w:r>
          </w:p>
          <w:p>
            <w:pPr>
              <w:adjustRightInd w:val="0"/>
              <w:snapToGrid w:val="0"/>
              <w:spacing w:line="440" w:lineRule="exact"/>
              <w:ind w:firstLine="480"/>
              <w:jc w:val="left"/>
              <w:rPr>
                <w:rFonts w:ascii="Times New Roman" w:hAnsi="Times New Roman" w:cs="Times New Roman"/>
                <w:bCs/>
                <w:szCs w:val="24"/>
              </w:rPr>
            </w:pPr>
            <w:r>
              <w:rPr>
                <w:rFonts w:ascii="Times New Roman" w:hAnsi="Times New Roman" w:cs="Times New Roman"/>
                <w:bCs/>
                <w:szCs w:val="24"/>
              </w:rPr>
              <w:t>（2）尽量选用低噪声设备，加强设备的维护与管理以保证其正常工作；</w:t>
            </w:r>
          </w:p>
          <w:p>
            <w:pPr>
              <w:adjustRightInd w:val="0"/>
              <w:snapToGrid w:val="0"/>
              <w:spacing w:line="440" w:lineRule="exact"/>
              <w:ind w:firstLine="480"/>
              <w:jc w:val="left"/>
              <w:rPr>
                <w:rFonts w:ascii="Times New Roman" w:hAnsi="Times New Roman" w:cs="Times New Roman"/>
                <w:bCs/>
                <w:szCs w:val="24"/>
              </w:rPr>
            </w:pPr>
            <w:r>
              <w:rPr>
                <w:rFonts w:ascii="Times New Roman" w:hAnsi="Times New Roman" w:cs="Times New Roman"/>
                <w:bCs/>
                <w:szCs w:val="24"/>
              </w:rPr>
              <w:t>（3）施工中禁止采用联络性鸣笛等产生噪声污染的施工方式；</w:t>
            </w:r>
          </w:p>
          <w:p>
            <w:pPr>
              <w:adjustRightInd w:val="0"/>
              <w:snapToGrid w:val="0"/>
              <w:spacing w:line="440" w:lineRule="exact"/>
              <w:ind w:firstLine="480"/>
              <w:jc w:val="left"/>
              <w:rPr>
                <w:rFonts w:ascii="Times New Roman" w:hAnsi="Times New Roman" w:cs="Times New Roman"/>
                <w:bCs/>
                <w:szCs w:val="24"/>
              </w:rPr>
            </w:pPr>
            <w:r>
              <w:rPr>
                <w:rFonts w:ascii="Times New Roman" w:hAnsi="Times New Roman" w:cs="Times New Roman"/>
                <w:bCs/>
                <w:szCs w:val="24"/>
              </w:rPr>
              <w:t>（4）统筹安排施工，尽可能避免在同一区段同一时间安排大量产生噪声设备施工；</w:t>
            </w:r>
          </w:p>
          <w:p>
            <w:pPr>
              <w:adjustRightInd w:val="0"/>
              <w:snapToGrid w:val="0"/>
              <w:spacing w:line="440" w:lineRule="exact"/>
              <w:ind w:firstLine="480"/>
              <w:jc w:val="left"/>
              <w:rPr>
                <w:rFonts w:ascii="Times New Roman" w:hAnsi="Times New Roman" w:cs="Times New Roman"/>
                <w:bCs/>
                <w:szCs w:val="24"/>
              </w:rPr>
            </w:pPr>
            <w:r>
              <w:rPr>
                <w:rFonts w:ascii="Times New Roman" w:hAnsi="Times New Roman" w:cs="Times New Roman"/>
                <w:bCs/>
                <w:szCs w:val="24"/>
              </w:rPr>
              <w:t>（5）建设单位应加强管理，文明施工。</w:t>
            </w:r>
          </w:p>
          <w:p>
            <w:pPr>
              <w:adjustRightInd w:val="0"/>
              <w:snapToGrid w:val="0"/>
              <w:spacing w:line="440" w:lineRule="exact"/>
              <w:ind w:firstLine="480"/>
              <w:jc w:val="left"/>
              <w:rPr>
                <w:rFonts w:ascii="Times New Roman" w:hAnsi="Times New Roman" w:cs="Times New Roman"/>
                <w:bCs/>
                <w:szCs w:val="24"/>
              </w:rPr>
            </w:pPr>
            <w:r>
              <w:rPr>
                <w:rFonts w:ascii="Times New Roman" w:hAnsi="Times New Roman" w:cs="Times New Roman"/>
                <w:bCs/>
                <w:szCs w:val="24"/>
              </w:rPr>
              <w:t>采取以上措施后，项目噪声对环境的影响较小，噪声排放满足《建筑施工场界环境噪声排放标准》(GB12523-2011)，且随施工期的结束，影响即可消失。</w:t>
            </w:r>
          </w:p>
          <w:p>
            <w:pPr>
              <w:spacing w:before="60" w:beforeLines="25" w:after="60" w:afterLines="25" w:line="240" w:lineRule="auto"/>
              <w:ind w:firstLine="0" w:firstLineChars="0"/>
              <w:rPr>
                <w:rFonts w:ascii="Times New Roman" w:hAnsi="Times New Roman" w:cs="Times New Roman"/>
                <w:b/>
              </w:rPr>
            </w:pPr>
            <w:r>
              <w:rPr>
                <w:rFonts w:ascii="Times New Roman" w:hAnsi="Times New Roman" w:cs="Times New Roman"/>
                <w:b/>
              </w:rPr>
              <w:t>运营期环境影响分析：</w:t>
            </w:r>
          </w:p>
          <w:p>
            <w:pPr>
              <w:spacing w:line="440" w:lineRule="exact"/>
              <w:ind w:firstLine="480"/>
              <w:rPr>
                <w:rFonts w:ascii="Times New Roman" w:hAnsi="Times New Roman" w:cs="Times New Roman"/>
              </w:rPr>
            </w:pPr>
            <w:r>
              <w:rPr>
                <w:rFonts w:ascii="Times New Roman" w:hAnsi="Times New Roman" w:cs="Times New Roman"/>
              </w:rPr>
              <w:t>1、大气环境影响分析</w:t>
            </w:r>
          </w:p>
          <w:p>
            <w:pPr>
              <w:spacing w:line="440" w:lineRule="exact"/>
              <w:ind w:firstLine="480"/>
              <w:rPr>
                <w:rFonts w:ascii="Times New Roman" w:hAnsi="Times New Roman" w:cs="Times New Roman"/>
              </w:rPr>
            </w:pPr>
            <w:r>
              <w:rPr>
                <w:rFonts w:ascii="Times New Roman" w:hAnsi="Times New Roman" w:cs="Times New Roman"/>
              </w:rPr>
              <w:t>项目无组织排放的废气主要为投料工序颗粒物与涂布工序产生的非甲烷总烃。无组织废气排放参数见表23，根据《环境影响评价技术导则》（HJ/2.2-2008）要求，采用估算模式进行预测的结果见表24。</w:t>
            </w:r>
          </w:p>
          <w:p>
            <w:pPr>
              <w:snapToGrid w:val="0"/>
              <w:spacing w:line="440" w:lineRule="exact"/>
              <w:ind w:firstLine="0" w:firstLineChars="0"/>
              <w:jc w:val="center"/>
              <w:rPr>
                <w:rFonts w:ascii="Times New Roman" w:hAnsi="Times New Roman" w:eastAsia="黑体" w:cs="Times New Roman"/>
                <w:snapToGrid w:val="0"/>
                <w:kern w:val="0"/>
              </w:rPr>
            </w:pPr>
            <w:r>
              <w:rPr>
                <w:rFonts w:ascii="Times New Roman" w:hAnsi="Times New Roman" w:eastAsia="黑体" w:cs="Times New Roman"/>
                <w:snapToGrid w:val="0"/>
                <w:kern w:val="0"/>
              </w:rPr>
              <w:t>表23  无组织大气污染源排放参数</w:t>
            </w:r>
          </w:p>
          <w:tbl>
            <w:tblPr>
              <w:tblStyle w:val="11"/>
              <w:tblW w:w="8924" w:type="dxa"/>
              <w:jc w:val="center"/>
              <w:tblInd w:w="118" w:type="dxa"/>
              <w:tblLayout w:type="fixed"/>
              <w:tblCellMar>
                <w:top w:w="0" w:type="dxa"/>
                <w:left w:w="0" w:type="dxa"/>
                <w:bottom w:w="0" w:type="dxa"/>
                <w:right w:w="0" w:type="dxa"/>
              </w:tblCellMar>
            </w:tblPr>
            <w:tblGrid>
              <w:gridCol w:w="1553"/>
              <w:gridCol w:w="1695"/>
              <w:gridCol w:w="1796"/>
              <w:gridCol w:w="1483"/>
              <w:gridCol w:w="2397"/>
            </w:tblGrid>
            <w:tr>
              <w:tblPrEx>
                <w:tblLayout w:type="fixed"/>
                <w:tblCellMar>
                  <w:top w:w="0" w:type="dxa"/>
                  <w:left w:w="0" w:type="dxa"/>
                  <w:bottom w:w="0" w:type="dxa"/>
                  <w:right w:w="0" w:type="dxa"/>
                </w:tblCellMar>
              </w:tblPrEx>
              <w:trPr>
                <w:trHeight w:val="295" w:hRule="exact"/>
                <w:jc w:val="center"/>
              </w:trPr>
              <w:tc>
                <w:tcPr>
                  <w:tcW w:w="1553" w:type="dxa"/>
                  <w:tcBorders>
                    <w:top w:val="single" w:color="000000" w:sz="10" w:space="0"/>
                    <w:left w:val="nil"/>
                    <w:bottom w:val="single" w:color="000000" w:sz="4" w:space="0"/>
                    <w:right w:val="single" w:color="000000" w:sz="4" w:space="0"/>
                  </w:tcBorders>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污染物名称</w:t>
                  </w:r>
                </w:p>
              </w:tc>
              <w:tc>
                <w:tcPr>
                  <w:tcW w:w="1695" w:type="dxa"/>
                  <w:tcBorders>
                    <w:top w:val="single" w:color="000000" w:sz="10" w:space="0"/>
                    <w:left w:val="single" w:color="000000" w:sz="4" w:space="0"/>
                    <w:bottom w:val="single" w:color="000000" w:sz="4" w:space="0"/>
                    <w:right w:val="single" w:color="000000" w:sz="4" w:space="0"/>
                  </w:tcBorders>
                </w:tcPr>
                <w:p>
                  <w:pPr>
                    <w:pStyle w:val="15"/>
                    <w:kinsoku w:val="0"/>
                    <w:overflowPunct w:val="0"/>
                    <w:spacing w:line="240" w:lineRule="auto"/>
                    <w:ind w:firstLine="0" w:firstLineChars="0"/>
                    <w:jc w:val="center"/>
                    <w:rPr>
                      <w:rFonts w:ascii="Times New Roman" w:hAnsi="Times New Roman" w:cs="Times New Roman"/>
                      <w:bCs/>
                      <w:snapToGrid w:val="0"/>
                      <w:spacing w:val="-8"/>
                      <w:kern w:val="2"/>
                      <w:sz w:val="21"/>
                      <w:szCs w:val="21"/>
                    </w:rPr>
                  </w:pPr>
                  <w:r>
                    <w:rPr>
                      <w:rFonts w:ascii="Times New Roman" w:hAnsi="Times New Roman" w:cs="Times New Roman"/>
                      <w:bCs/>
                      <w:snapToGrid w:val="0"/>
                      <w:spacing w:val="-8"/>
                      <w:kern w:val="2"/>
                      <w:sz w:val="21"/>
                      <w:szCs w:val="21"/>
                    </w:rPr>
                    <w:t>产生位置</w:t>
                  </w:r>
                </w:p>
              </w:tc>
              <w:tc>
                <w:tcPr>
                  <w:tcW w:w="1796" w:type="dxa"/>
                  <w:tcBorders>
                    <w:top w:val="single" w:color="000000" w:sz="10" w:space="0"/>
                    <w:left w:val="single" w:color="000000" w:sz="4" w:space="0"/>
                    <w:bottom w:val="single" w:color="000000" w:sz="4"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napToGrid w:val="0"/>
                      <w:spacing w:val="-8"/>
                      <w:kern w:val="2"/>
                      <w:sz w:val="21"/>
                      <w:szCs w:val="21"/>
                    </w:rPr>
                  </w:pPr>
                  <w:r>
                    <w:rPr>
                      <w:rFonts w:ascii="Times New Roman" w:hAnsi="Times New Roman" w:cs="Times New Roman"/>
                      <w:bCs/>
                      <w:snapToGrid w:val="0"/>
                      <w:spacing w:val="-8"/>
                      <w:kern w:val="2"/>
                      <w:sz w:val="21"/>
                      <w:szCs w:val="21"/>
                    </w:rPr>
                    <w:t>污染物排放量（t/a）</w:t>
                  </w:r>
                </w:p>
              </w:tc>
              <w:tc>
                <w:tcPr>
                  <w:tcW w:w="1483" w:type="dxa"/>
                  <w:tcBorders>
                    <w:top w:val="single" w:color="000000" w:sz="10" w:space="0"/>
                    <w:left w:val="single" w:color="000000" w:sz="4" w:space="0"/>
                    <w:bottom w:val="single" w:color="000000" w:sz="4"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napToGrid w:val="0"/>
                      <w:spacing w:val="-8"/>
                      <w:kern w:val="2"/>
                      <w:sz w:val="21"/>
                      <w:szCs w:val="21"/>
                    </w:rPr>
                  </w:pPr>
                  <w:r>
                    <w:rPr>
                      <w:rFonts w:ascii="Times New Roman" w:hAnsi="Times New Roman" w:cs="Times New Roman"/>
                      <w:bCs/>
                      <w:snapToGrid w:val="0"/>
                      <w:spacing w:val="-8"/>
                      <w:kern w:val="2"/>
                      <w:sz w:val="21"/>
                      <w:szCs w:val="21"/>
                    </w:rPr>
                    <w:t>面源面积（m</w:t>
                  </w:r>
                  <w:r>
                    <w:rPr>
                      <w:rFonts w:ascii="Times New Roman" w:hAnsi="Times New Roman" w:cs="Times New Roman"/>
                      <w:bCs/>
                      <w:snapToGrid w:val="0"/>
                      <w:spacing w:val="-8"/>
                      <w:kern w:val="2"/>
                      <w:sz w:val="21"/>
                      <w:szCs w:val="21"/>
                      <w:vertAlign w:val="superscript"/>
                    </w:rPr>
                    <w:t>2</w:t>
                  </w:r>
                  <w:r>
                    <w:rPr>
                      <w:rFonts w:ascii="Times New Roman" w:hAnsi="Times New Roman" w:cs="Times New Roman"/>
                      <w:bCs/>
                      <w:snapToGrid w:val="0"/>
                      <w:spacing w:val="-8"/>
                      <w:kern w:val="2"/>
                      <w:sz w:val="21"/>
                      <w:szCs w:val="21"/>
                    </w:rPr>
                    <w:t>）</w:t>
                  </w:r>
                </w:p>
              </w:tc>
              <w:tc>
                <w:tcPr>
                  <w:tcW w:w="2397" w:type="dxa"/>
                  <w:tcBorders>
                    <w:top w:val="single" w:color="000000" w:sz="10" w:space="0"/>
                    <w:left w:val="single" w:color="000000" w:sz="4" w:space="0"/>
                    <w:bottom w:val="single" w:color="000000" w:sz="4" w:space="0"/>
                    <w:right w:val="nil"/>
                  </w:tcBorders>
                  <w:vAlign w:val="center"/>
                </w:tcPr>
                <w:p>
                  <w:pPr>
                    <w:pStyle w:val="15"/>
                    <w:kinsoku w:val="0"/>
                    <w:overflowPunct w:val="0"/>
                    <w:spacing w:line="240" w:lineRule="auto"/>
                    <w:ind w:firstLine="0" w:firstLineChars="0"/>
                    <w:jc w:val="center"/>
                    <w:rPr>
                      <w:rFonts w:ascii="Times New Roman" w:hAnsi="Times New Roman" w:cs="Times New Roman"/>
                      <w:bCs/>
                      <w:snapToGrid w:val="0"/>
                      <w:spacing w:val="-8"/>
                      <w:kern w:val="2"/>
                      <w:sz w:val="21"/>
                      <w:szCs w:val="21"/>
                    </w:rPr>
                  </w:pPr>
                  <w:r>
                    <w:rPr>
                      <w:rFonts w:ascii="Times New Roman" w:hAnsi="Times New Roman" w:cs="Times New Roman"/>
                      <w:bCs/>
                      <w:snapToGrid w:val="0"/>
                      <w:spacing w:val="-8"/>
                      <w:kern w:val="2"/>
                      <w:sz w:val="21"/>
                      <w:szCs w:val="21"/>
                    </w:rPr>
                    <w:t>面源高度（m）</w:t>
                  </w:r>
                </w:p>
              </w:tc>
            </w:tr>
            <w:tr>
              <w:tblPrEx>
                <w:tblLayout w:type="fixed"/>
                <w:tblCellMar>
                  <w:top w:w="0" w:type="dxa"/>
                  <w:left w:w="0" w:type="dxa"/>
                  <w:bottom w:w="0" w:type="dxa"/>
                  <w:right w:w="0" w:type="dxa"/>
                </w:tblCellMar>
              </w:tblPrEx>
              <w:trPr>
                <w:trHeight w:val="257" w:hRule="exact"/>
                <w:jc w:val="center"/>
              </w:trPr>
              <w:tc>
                <w:tcPr>
                  <w:tcW w:w="1553" w:type="dxa"/>
                  <w:tcBorders>
                    <w:top w:val="single" w:color="000000" w:sz="4" w:space="0"/>
                    <w:left w:val="nil"/>
                    <w:bottom w:val="single" w:color="000000" w:sz="4" w:space="0"/>
                    <w:right w:val="single" w:color="000000" w:sz="4" w:space="0"/>
                  </w:tcBorders>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NMP</w:t>
                  </w:r>
                </w:p>
              </w:tc>
              <w:tc>
                <w:tcPr>
                  <w:tcW w:w="1695" w:type="dxa"/>
                  <w:tcBorders>
                    <w:top w:val="single" w:color="000000" w:sz="4" w:space="0"/>
                    <w:left w:val="single" w:color="000000" w:sz="4" w:space="0"/>
                    <w:bottom w:val="single" w:color="000000" w:sz="2" w:space="0"/>
                    <w:right w:val="single" w:color="000000" w:sz="4" w:space="0"/>
                  </w:tcBorders>
                </w:tcPr>
                <w:p>
                  <w:pPr>
                    <w:pStyle w:val="15"/>
                    <w:kinsoku w:val="0"/>
                    <w:overflowPunct w:val="0"/>
                    <w:spacing w:line="240" w:lineRule="auto"/>
                    <w:ind w:firstLine="0" w:firstLineChars="0"/>
                    <w:jc w:val="center"/>
                    <w:rPr>
                      <w:rFonts w:ascii="Times New Roman" w:hAnsi="Times New Roman" w:cs="Times New Roman"/>
                      <w:bCs/>
                      <w:snapToGrid w:val="0"/>
                      <w:spacing w:val="-8"/>
                      <w:kern w:val="2"/>
                      <w:sz w:val="21"/>
                      <w:szCs w:val="21"/>
                    </w:rPr>
                  </w:pPr>
                  <w:r>
                    <w:rPr>
                      <w:rFonts w:ascii="Times New Roman" w:hAnsi="Times New Roman" w:cs="Times New Roman"/>
                      <w:bCs/>
                      <w:snapToGrid w:val="0"/>
                      <w:spacing w:val="-8"/>
                      <w:kern w:val="2"/>
                      <w:sz w:val="21"/>
                      <w:szCs w:val="21"/>
                    </w:rPr>
                    <w:t>1#车间</w:t>
                  </w:r>
                </w:p>
              </w:tc>
              <w:tc>
                <w:tcPr>
                  <w:tcW w:w="1796" w:type="dxa"/>
                  <w:tcBorders>
                    <w:top w:val="single" w:color="000000" w:sz="4" w:space="0"/>
                    <w:left w:val="single" w:color="000000" w:sz="4" w:space="0"/>
                    <w:bottom w:val="single" w:color="000000" w:sz="2"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napToGrid w:val="0"/>
                      <w:spacing w:val="-8"/>
                      <w:kern w:val="2"/>
                      <w:sz w:val="21"/>
                      <w:szCs w:val="21"/>
                    </w:rPr>
                  </w:pPr>
                  <w:r>
                    <w:rPr>
                      <w:rFonts w:ascii="Times New Roman" w:hAnsi="Times New Roman" w:cs="Times New Roman"/>
                      <w:bCs/>
                      <w:snapToGrid w:val="0"/>
                      <w:spacing w:val="-8"/>
                      <w:kern w:val="2"/>
                      <w:sz w:val="21"/>
                      <w:szCs w:val="21"/>
                    </w:rPr>
                    <w:t>4.63</w:t>
                  </w:r>
                </w:p>
              </w:tc>
              <w:tc>
                <w:tcPr>
                  <w:tcW w:w="1483" w:type="dxa"/>
                  <w:vMerge w:val="restart"/>
                  <w:tcBorders>
                    <w:top w:val="single" w:color="000000" w:sz="4" w:space="0"/>
                    <w:left w:val="single" w:color="000000" w:sz="4" w:space="0"/>
                    <w:bottom w:val="single" w:color="000000" w:sz="10"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napToGrid w:val="0"/>
                      <w:spacing w:val="-8"/>
                      <w:kern w:val="2"/>
                      <w:sz w:val="21"/>
                      <w:szCs w:val="21"/>
                    </w:rPr>
                  </w:pPr>
                  <w:r>
                    <w:rPr>
                      <w:rFonts w:ascii="Times New Roman" w:hAnsi="Times New Roman" w:cs="Times New Roman"/>
                      <w:bCs/>
                      <w:snapToGrid w:val="0"/>
                      <w:spacing w:val="-8"/>
                      <w:kern w:val="2"/>
                      <w:sz w:val="21"/>
                      <w:szCs w:val="21"/>
                    </w:rPr>
                    <w:t>20m*125m</w:t>
                  </w:r>
                </w:p>
              </w:tc>
              <w:tc>
                <w:tcPr>
                  <w:tcW w:w="2397" w:type="dxa"/>
                  <w:vMerge w:val="restart"/>
                  <w:tcBorders>
                    <w:top w:val="single" w:color="000000" w:sz="4" w:space="0"/>
                    <w:left w:val="single" w:color="000000" w:sz="4" w:space="0"/>
                    <w:bottom w:val="single" w:color="000000" w:sz="10" w:space="0"/>
                    <w:right w:val="nil"/>
                  </w:tcBorders>
                  <w:vAlign w:val="center"/>
                </w:tcPr>
                <w:p>
                  <w:pPr>
                    <w:pStyle w:val="15"/>
                    <w:kinsoku w:val="0"/>
                    <w:overflowPunct w:val="0"/>
                    <w:spacing w:line="240" w:lineRule="auto"/>
                    <w:ind w:firstLine="0" w:firstLineChars="0"/>
                    <w:jc w:val="center"/>
                    <w:rPr>
                      <w:rFonts w:ascii="Times New Roman" w:hAnsi="Times New Roman" w:cs="Times New Roman"/>
                      <w:bCs/>
                      <w:snapToGrid w:val="0"/>
                      <w:spacing w:val="-8"/>
                      <w:kern w:val="2"/>
                      <w:sz w:val="21"/>
                      <w:szCs w:val="21"/>
                    </w:rPr>
                  </w:pPr>
                  <w:r>
                    <w:rPr>
                      <w:rFonts w:ascii="Times New Roman" w:hAnsi="Times New Roman" w:cs="Times New Roman"/>
                      <w:bCs/>
                      <w:snapToGrid w:val="0"/>
                      <w:spacing w:val="-8"/>
                      <w:kern w:val="2"/>
                      <w:sz w:val="21"/>
                      <w:szCs w:val="21"/>
                    </w:rPr>
                    <w:t>13.5</w:t>
                  </w:r>
                </w:p>
              </w:tc>
            </w:tr>
            <w:tr>
              <w:tblPrEx>
                <w:tblLayout w:type="fixed"/>
                <w:tblCellMar>
                  <w:top w:w="0" w:type="dxa"/>
                  <w:left w:w="0" w:type="dxa"/>
                  <w:bottom w:w="0" w:type="dxa"/>
                  <w:right w:w="0" w:type="dxa"/>
                </w:tblCellMar>
              </w:tblPrEx>
              <w:trPr>
                <w:trHeight w:val="297" w:hRule="exact"/>
                <w:jc w:val="center"/>
              </w:trPr>
              <w:tc>
                <w:tcPr>
                  <w:tcW w:w="1553" w:type="dxa"/>
                  <w:tcBorders>
                    <w:top w:val="single" w:color="000000" w:sz="4" w:space="0"/>
                    <w:left w:val="nil"/>
                    <w:bottom w:val="single" w:color="000000" w:sz="10" w:space="0"/>
                    <w:right w:val="single" w:color="000000" w:sz="4" w:space="0"/>
                  </w:tcBorders>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投料粉尘</w:t>
                  </w:r>
                </w:p>
              </w:tc>
              <w:tc>
                <w:tcPr>
                  <w:tcW w:w="1695" w:type="dxa"/>
                  <w:tcBorders>
                    <w:top w:val="single" w:color="000000" w:sz="2" w:space="0"/>
                    <w:left w:val="single" w:color="000000" w:sz="4" w:space="0"/>
                    <w:bottom w:val="single" w:color="000000" w:sz="10" w:space="0"/>
                    <w:right w:val="single" w:color="000000" w:sz="4" w:space="0"/>
                  </w:tcBorders>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1#车间</w:t>
                  </w:r>
                </w:p>
              </w:tc>
              <w:tc>
                <w:tcPr>
                  <w:tcW w:w="1796" w:type="dxa"/>
                  <w:tcBorders>
                    <w:top w:val="single" w:color="000000" w:sz="2" w:space="0"/>
                    <w:left w:val="single" w:color="000000" w:sz="4" w:space="0"/>
                    <w:bottom w:val="single" w:color="000000" w:sz="10" w:space="0"/>
                    <w:right w:val="single" w:color="000000" w:sz="4" w:space="0"/>
                  </w:tcBorders>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0.013</w:t>
                  </w:r>
                </w:p>
              </w:tc>
              <w:tc>
                <w:tcPr>
                  <w:tcW w:w="1483" w:type="dxa"/>
                  <w:vMerge w:val="continue"/>
                  <w:tcBorders>
                    <w:top w:val="single" w:color="000000" w:sz="4" w:space="0"/>
                    <w:left w:val="single" w:color="000000" w:sz="4" w:space="0"/>
                    <w:bottom w:val="single" w:color="000000" w:sz="10" w:space="0"/>
                    <w:right w:val="single" w:color="000000" w:sz="4" w:space="0"/>
                  </w:tcBorders>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p>
              </w:tc>
              <w:tc>
                <w:tcPr>
                  <w:tcW w:w="2397" w:type="dxa"/>
                  <w:vMerge w:val="continue"/>
                  <w:tcBorders>
                    <w:top w:val="single" w:color="000000" w:sz="4" w:space="0"/>
                    <w:left w:val="single" w:color="000000" w:sz="4" w:space="0"/>
                    <w:bottom w:val="single" w:color="000000" w:sz="10" w:space="0"/>
                    <w:right w:val="nil"/>
                  </w:tcBorders>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p>
              </w:tc>
            </w:tr>
          </w:tbl>
          <w:p>
            <w:pPr>
              <w:snapToGrid w:val="0"/>
              <w:spacing w:line="440" w:lineRule="exact"/>
              <w:ind w:firstLine="0" w:firstLineChars="0"/>
              <w:jc w:val="center"/>
              <w:rPr>
                <w:rFonts w:ascii="Times New Roman" w:hAnsi="Times New Roman" w:eastAsia="黑体" w:cs="Times New Roman"/>
                <w:snapToGrid w:val="0"/>
                <w:kern w:val="0"/>
              </w:rPr>
            </w:pPr>
            <w:r>
              <w:rPr>
                <w:rFonts w:ascii="Times New Roman" w:hAnsi="Times New Roman" w:eastAsia="黑体" w:cs="Times New Roman"/>
                <w:snapToGrid w:val="0"/>
                <w:kern w:val="0"/>
              </w:rPr>
              <w:t>表24  无组织排放污染物估算模式计算结果表</w:t>
            </w:r>
          </w:p>
          <w:tbl>
            <w:tblPr>
              <w:tblStyle w:val="11"/>
              <w:tblW w:w="9042"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
            <w:tblGrid>
              <w:gridCol w:w="2097"/>
              <w:gridCol w:w="1843"/>
              <w:gridCol w:w="1702"/>
              <w:gridCol w:w="1821"/>
              <w:gridCol w:w="1579"/>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097" w:type="dxa"/>
                  <w:vMerge w:val="restart"/>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距源中心下风向距离D(m)</w:t>
                  </w:r>
                </w:p>
              </w:tc>
              <w:tc>
                <w:tcPr>
                  <w:tcW w:w="3545" w:type="dxa"/>
                  <w:gridSpan w:val="2"/>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kern w:val="0"/>
                      <w:sz w:val="21"/>
                      <w:szCs w:val="21"/>
                    </w:rPr>
                    <w:t>颗粒物</w:t>
                  </w:r>
                </w:p>
              </w:tc>
              <w:tc>
                <w:tcPr>
                  <w:tcW w:w="3400" w:type="dxa"/>
                  <w:gridSpan w:val="2"/>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kern w:val="0"/>
                      <w:sz w:val="21"/>
                      <w:szCs w:val="21"/>
                    </w:rPr>
                    <w:t>非甲烷总烃</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097" w:type="dxa"/>
                  <w:vMerge w:val="continue"/>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p>
              </w:tc>
              <w:tc>
                <w:tcPr>
                  <w:tcW w:w="1843" w:type="dxa"/>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下风向预测浓度(mg/m</w:t>
                  </w:r>
                  <w:r>
                    <w:rPr>
                      <w:rFonts w:ascii="Times New Roman" w:hAnsi="Times New Roman" w:cs="Times New Roman"/>
                      <w:bCs/>
                      <w:snapToGrid w:val="0"/>
                      <w:spacing w:val="-8"/>
                      <w:sz w:val="21"/>
                      <w:szCs w:val="21"/>
                      <w:vertAlign w:val="superscript"/>
                    </w:rPr>
                    <w:t>3</w:t>
                  </w:r>
                  <w:r>
                    <w:rPr>
                      <w:rFonts w:ascii="Times New Roman" w:hAnsi="Times New Roman" w:cs="Times New Roman"/>
                      <w:bCs/>
                      <w:snapToGrid w:val="0"/>
                      <w:spacing w:val="-8"/>
                      <w:sz w:val="21"/>
                      <w:szCs w:val="21"/>
                    </w:rPr>
                    <w:t>)</w:t>
                  </w:r>
                </w:p>
              </w:tc>
              <w:tc>
                <w:tcPr>
                  <w:tcW w:w="1702" w:type="dxa"/>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浓度占标率（%）</w:t>
                  </w:r>
                </w:p>
              </w:tc>
              <w:tc>
                <w:tcPr>
                  <w:tcW w:w="1821" w:type="dxa"/>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下风向预测浓度(mg/m</w:t>
                  </w:r>
                  <w:r>
                    <w:rPr>
                      <w:rFonts w:ascii="Times New Roman" w:hAnsi="Times New Roman" w:cs="Times New Roman"/>
                      <w:bCs/>
                      <w:snapToGrid w:val="0"/>
                      <w:spacing w:val="-8"/>
                      <w:sz w:val="21"/>
                      <w:szCs w:val="21"/>
                      <w:vertAlign w:val="superscript"/>
                    </w:rPr>
                    <w:t>3</w:t>
                  </w:r>
                  <w:r>
                    <w:rPr>
                      <w:rFonts w:ascii="Times New Roman" w:hAnsi="Times New Roman" w:cs="Times New Roman"/>
                      <w:bCs/>
                      <w:snapToGrid w:val="0"/>
                      <w:spacing w:val="-8"/>
                      <w:sz w:val="21"/>
                      <w:szCs w:val="21"/>
                    </w:rPr>
                    <w:t>)</w:t>
                  </w:r>
                </w:p>
              </w:tc>
              <w:tc>
                <w:tcPr>
                  <w:tcW w:w="1579" w:type="dxa"/>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浓度占标率（%）</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097"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10</w:t>
                  </w:r>
                </w:p>
              </w:tc>
              <w:tc>
                <w:tcPr>
                  <w:tcW w:w="1843"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6.044E-5</w:t>
                  </w:r>
                </w:p>
              </w:tc>
              <w:tc>
                <w:tcPr>
                  <w:tcW w:w="1702"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0.02</w:t>
                  </w:r>
                </w:p>
              </w:tc>
              <w:tc>
                <w:tcPr>
                  <w:tcW w:w="1821"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0.02266</w:t>
                  </w:r>
                </w:p>
              </w:tc>
              <w:tc>
                <w:tcPr>
                  <w:tcW w:w="1579"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1.13</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097"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100</w:t>
                  </w:r>
                </w:p>
              </w:tc>
              <w:tc>
                <w:tcPr>
                  <w:tcW w:w="1843"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0.0002034</w:t>
                  </w:r>
                </w:p>
              </w:tc>
              <w:tc>
                <w:tcPr>
                  <w:tcW w:w="1702"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0.07</w:t>
                  </w:r>
                </w:p>
              </w:tc>
              <w:tc>
                <w:tcPr>
                  <w:tcW w:w="1821"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0.07626</w:t>
                  </w:r>
                </w:p>
              </w:tc>
              <w:tc>
                <w:tcPr>
                  <w:tcW w:w="1579"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3.81</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097"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100</w:t>
                  </w:r>
                </w:p>
              </w:tc>
              <w:tc>
                <w:tcPr>
                  <w:tcW w:w="1843"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0.0002034</w:t>
                  </w:r>
                </w:p>
              </w:tc>
              <w:tc>
                <w:tcPr>
                  <w:tcW w:w="1702"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0.07</w:t>
                  </w:r>
                </w:p>
              </w:tc>
              <w:tc>
                <w:tcPr>
                  <w:tcW w:w="1821"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0.07626</w:t>
                  </w:r>
                </w:p>
              </w:tc>
              <w:tc>
                <w:tcPr>
                  <w:tcW w:w="1579"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3.81</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097"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156</w:t>
                  </w:r>
                </w:p>
              </w:tc>
              <w:tc>
                <w:tcPr>
                  <w:tcW w:w="1843"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0.0002524</w:t>
                  </w:r>
                </w:p>
              </w:tc>
              <w:tc>
                <w:tcPr>
                  <w:tcW w:w="1702"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0.08</w:t>
                  </w:r>
                </w:p>
              </w:tc>
              <w:tc>
                <w:tcPr>
                  <w:tcW w:w="1821"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0.09464</w:t>
                  </w:r>
                </w:p>
              </w:tc>
              <w:tc>
                <w:tcPr>
                  <w:tcW w:w="1579"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4.73</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097"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200</w:t>
                  </w:r>
                </w:p>
              </w:tc>
              <w:tc>
                <w:tcPr>
                  <w:tcW w:w="1843"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0.0002272</w:t>
                  </w:r>
                </w:p>
              </w:tc>
              <w:tc>
                <w:tcPr>
                  <w:tcW w:w="1702"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0.08</w:t>
                  </w:r>
                </w:p>
              </w:tc>
              <w:tc>
                <w:tcPr>
                  <w:tcW w:w="1821"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0.08519</w:t>
                  </w:r>
                </w:p>
              </w:tc>
              <w:tc>
                <w:tcPr>
                  <w:tcW w:w="1579"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4.26</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097"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300</w:t>
                  </w:r>
                </w:p>
              </w:tc>
              <w:tc>
                <w:tcPr>
                  <w:tcW w:w="1843"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0.0002293</w:t>
                  </w:r>
                </w:p>
              </w:tc>
              <w:tc>
                <w:tcPr>
                  <w:tcW w:w="1702"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0.08</w:t>
                  </w:r>
                </w:p>
              </w:tc>
              <w:tc>
                <w:tcPr>
                  <w:tcW w:w="1821"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0.08598</w:t>
                  </w:r>
                </w:p>
              </w:tc>
              <w:tc>
                <w:tcPr>
                  <w:tcW w:w="1579"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4.30</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097"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400</w:t>
                  </w:r>
                </w:p>
              </w:tc>
              <w:tc>
                <w:tcPr>
                  <w:tcW w:w="1843"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0.0002123</w:t>
                  </w:r>
                </w:p>
              </w:tc>
              <w:tc>
                <w:tcPr>
                  <w:tcW w:w="1702"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0.07</w:t>
                  </w:r>
                </w:p>
              </w:tc>
              <w:tc>
                <w:tcPr>
                  <w:tcW w:w="1821"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0.07961</w:t>
                  </w:r>
                </w:p>
              </w:tc>
              <w:tc>
                <w:tcPr>
                  <w:tcW w:w="1579"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3.98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097"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500</w:t>
                  </w:r>
                </w:p>
              </w:tc>
              <w:tc>
                <w:tcPr>
                  <w:tcW w:w="1843"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0.0001858</w:t>
                  </w:r>
                </w:p>
              </w:tc>
              <w:tc>
                <w:tcPr>
                  <w:tcW w:w="1702"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0.06</w:t>
                  </w:r>
                </w:p>
              </w:tc>
              <w:tc>
                <w:tcPr>
                  <w:tcW w:w="1821"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0.06966</w:t>
                  </w:r>
                </w:p>
              </w:tc>
              <w:tc>
                <w:tcPr>
                  <w:tcW w:w="1579"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3.48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097"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600</w:t>
                  </w:r>
                </w:p>
              </w:tc>
              <w:tc>
                <w:tcPr>
                  <w:tcW w:w="1843"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0.0001907</w:t>
                  </w:r>
                </w:p>
              </w:tc>
              <w:tc>
                <w:tcPr>
                  <w:tcW w:w="1702"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0.06</w:t>
                  </w:r>
                </w:p>
              </w:tc>
              <w:tc>
                <w:tcPr>
                  <w:tcW w:w="1821"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0.07149</w:t>
                  </w:r>
                </w:p>
              </w:tc>
              <w:tc>
                <w:tcPr>
                  <w:tcW w:w="1579"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3.57</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097"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700</w:t>
                  </w:r>
                </w:p>
              </w:tc>
              <w:tc>
                <w:tcPr>
                  <w:tcW w:w="1843"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0.0001827</w:t>
                  </w:r>
                </w:p>
              </w:tc>
              <w:tc>
                <w:tcPr>
                  <w:tcW w:w="1702"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0.06</w:t>
                  </w:r>
                </w:p>
              </w:tc>
              <w:tc>
                <w:tcPr>
                  <w:tcW w:w="1821"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0.06852</w:t>
                  </w:r>
                </w:p>
              </w:tc>
              <w:tc>
                <w:tcPr>
                  <w:tcW w:w="1579"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3.43</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097"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800</w:t>
                  </w:r>
                </w:p>
              </w:tc>
              <w:tc>
                <w:tcPr>
                  <w:tcW w:w="1843"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0.000169</w:t>
                  </w:r>
                </w:p>
              </w:tc>
              <w:tc>
                <w:tcPr>
                  <w:tcW w:w="1702"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0.06</w:t>
                  </w:r>
                </w:p>
              </w:tc>
              <w:tc>
                <w:tcPr>
                  <w:tcW w:w="1821"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0.06336</w:t>
                  </w:r>
                </w:p>
              </w:tc>
              <w:tc>
                <w:tcPr>
                  <w:tcW w:w="1579"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3.17</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097"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900</w:t>
                  </w:r>
                </w:p>
              </w:tc>
              <w:tc>
                <w:tcPr>
                  <w:tcW w:w="1843"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0.0001546</w:t>
                  </w:r>
                </w:p>
              </w:tc>
              <w:tc>
                <w:tcPr>
                  <w:tcW w:w="1702"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0.05</w:t>
                  </w:r>
                </w:p>
              </w:tc>
              <w:tc>
                <w:tcPr>
                  <w:tcW w:w="1821"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0.05796</w:t>
                  </w:r>
                </w:p>
              </w:tc>
              <w:tc>
                <w:tcPr>
                  <w:tcW w:w="1579"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2.90</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097"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1000</w:t>
                  </w:r>
                </w:p>
              </w:tc>
              <w:tc>
                <w:tcPr>
                  <w:tcW w:w="1843"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0.000141</w:t>
                  </w:r>
                </w:p>
              </w:tc>
              <w:tc>
                <w:tcPr>
                  <w:tcW w:w="1702"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0.05</w:t>
                  </w:r>
                </w:p>
              </w:tc>
              <w:tc>
                <w:tcPr>
                  <w:tcW w:w="1821"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0.05286</w:t>
                  </w:r>
                </w:p>
              </w:tc>
              <w:tc>
                <w:tcPr>
                  <w:tcW w:w="1579"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2.64</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097"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1100</w:t>
                  </w:r>
                </w:p>
              </w:tc>
              <w:tc>
                <w:tcPr>
                  <w:tcW w:w="1843"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0.0001285</w:t>
                  </w:r>
                </w:p>
              </w:tc>
              <w:tc>
                <w:tcPr>
                  <w:tcW w:w="1702"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0.04</w:t>
                  </w:r>
                </w:p>
              </w:tc>
              <w:tc>
                <w:tcPr>
                  <w:tcW w:w="1821"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0.04821</w:t>
                  </w:r>
                </w:p>
              </w:tc>
              <w:tc>
                <w:tcPr>
                  <w:tcW w:w="1579"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2.41</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097"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1200</w:t>
                  </w:r>
                </w:p>
              </w:tc>
              <w:tc>
                <w:tcPr>
                  <w:tcW w:w="1843"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0.0001175</w:t>
                  </w:r>
                </w:p>
              </w:tc>
              <w:tc>
                <w:tcPr>
                  <w:tcW w:w="1702"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0.04</w:t>
                  </w:r>
                </w:p>
              </w:tc>
              <w:tc>
                <w:tcPr>
                  <w:tcW w:w="1821"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0.04408</w:t>
                  </w:r>
                </w:p>
              </w:tc>
              <w:tc>
                <w:tcPr>
                  <w:tcW w:w="1579"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2.20</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097"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1300</w:t>
                  </w:r>
                </w:p>
              </w:tc>
              <w:tc>
                <w:tcPr>
                  <w:tcW w:w="1843"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0.0001078</w:t>
                  </w:r>
                </w:p>
              </w:tc>
              <w:tc>
                <w:tcPr>
                  <w:tcW w:w="1702"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0.04</w:t>
                  </w:r>
                </w:p>
              </w:tc>
              <w:tc>
                <w:tcPr>
                  <w:tcW w:w="1821"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0.04044</w:t>
                  </w:r>
                </w:p>
              </w:tc>
              <w:tc>
                <w:tcPr>
                  <w:tcW w:w="1579"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2.02</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097"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1400</w:t>
                  </w:r>
                </w:p>
              </w:tc>
              <w:tc>
                <w:tcPr>
                  <w:tcW w:w="1843"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9.927E-5</w:t>
                  </w:r>
                </w:p>
              </w:tc>
              <w:tc>
                <w:tcPr>
                  <w:tcW w:w="1702"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0.03</w:t>
                  </w:r>
                </w:p>
              </w:tc>
              <w:tc>
                <w:tcPr>
                  <w:tcW w:w="1821"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0.03723</w:t>
                  </w:r>
                </w:p>
              </w:tc>
              <w:tc>
                <w:tcPr>
                  <w:tcW w:w="1579"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1.86</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097"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1500</w:t>
                  </w:r>
                </w:p>
              </w:tc>
              <w:tc>
                <w:tcPr>
                  <w:tcW w:w="1843"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9.17E-5</w:t>
                  </w:r>
                </w:p>
              </w:tc>
              <w:tc>
                <w:tcPr>
                  <w:tcW w:w="1702"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0.03</w:t>
                  </w:r>
                </w:p>
              </w:tc>
              <w:tc>
                <w:tcPr>
                  <w:tcW w:w="1821"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0.03439</w:t>
                  </w:r>
                </w:p>
              </w:tc>
              <w:tc>
                <w:tcPr>
                  <w:tcW w:w="1579"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1.72</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097"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1600</w:t>
                  </w:r>
                </w:p>
              </w:tc>
              <w:tc>
                <w:tcPr>
                  <w:tcW w:w="1843"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8.492E-5</w:t>
                  </w:r>
                </w:p>
              </w:tc>
              <w:tc>
                <w:tcPr>
                  <w:tcW w:w="1702"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0.03</w:t>
                  </w:r>
                </w:p>
              </w:tc>
              <w:tc>
                <w:tcPr>
                  <w:tcW w:w="1821"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0.03184</w:t>
                  </w:r>
                </w:p>
              </w:tc>
              <w:tc>
                <w:tcPr>
                  <w:tcW w:w="1579"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1.59</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097"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1700</w:t>
                  </w:r>
                </w:p>
              </w:tc>
              <w:tc>
                <w:tcPr>
                  <w:tcW w:w="1843"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7.885E-5</w:t>
                  </w:r>
                </w:p>
              </w:tc>
              <w:tc>
                <w:tcPr>
                  <w:tcW w:w="1702"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0.03</w:t>
                  </w:r>
                </w:p>
              </w:tc>
              <w:tc>
                <w:tcPr>
                  <w:tcW w:w="1821"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0.02957</w:t>
                  </w:r>
                </w:p>
              </w:tc>
              <w:tc>
                <w:tcPr>
                  <w:tcW w:w="1579"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1.48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097"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1800</w:t>
                  </w:r>
                </w:p>
              </w:tc>
              <w:tc>
                <w:tcPr>
                  <w:tcW w:w="1843"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7.343E-5</w:t>
                  </w:r>
                </w:p>
              </w:tc>
              <w:tc>
                <w:tcPr>
                  <w:tcW w:w="1702"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0.02</w:t>
                  </w:r>
                </w:p>
              </w:tc>
              <w:tc>
                <w:tcPr>
                  <w:tcW w:w="1821"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0.02754</w:t>
                  </w:r>
                </w:p>
              </w:tc>
              <w:tc>
                <w:tcPr>
                  <w:tcW w:w="1579"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1.38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097"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1900</w:t>
                  </w:r>
                </w:p>
              </w:tc>
              <w:tc>
                <w:tcPr>
                  <w:tcW w:w="1843"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6.857E-5</w:t>
                  </w:r>
                </w:p>
              </w:tc>
              <w:tc>
                <w:tcPr>
                  <w:tcW w:w="1702"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0.02</w:t>
                  </w:r>
                </w:p>
              </w:tc>
              <w:tc>
                <w:tcPr>
                  <w:tcW w:w="1821"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0.02572</w:t>
                  </w:r>
                </w:p>
              </w:tc>
              <w:tc>
                <w:tcPr>
                  <w:tcW w:w="1579"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1.29</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097"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2000</w:t>
                  </w:r>
                </w:p>
              </w:tc>
              <w:tc>
                <w:tcPr>
                  <w:tcW w:w="1843"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6.424E-5</w:t>
                  </w:r>
                </w:p>
              </w:tc>
              <w:tc>
                <w:tcPr>
                  <w:tcW w:w="1702"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0.02</w:t>
                  </w:r>
                </w:p>
              </w:tc>
              <w:tc>
                <w:tcPr>
                  <w:tcW w:w="1821"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0.02409</w:t>
                  </w:r>
                </w:p>
              </w:tc>
              <w:tc>
                <w:tcPr>
                  <w:tcW w:w="1579"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1.20</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097"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2100</w:t>
                  </w:r>
                </w:p>
              </w:tc>
              <w:tc>
                <w:tcPr>
                  <w:tcW w:w="1843"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6.044E-5</w:t>
                  </w:r>
                </w:p>
              </w:tc>
              <w:tc>
                <w:tcPr>
                  <w:tcW w:w="1702"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0.02</w:t>
                  </w:r>
                </w:p>
              </w:tc>
              <w:tc>
                <w:tcPr>
                  <w:tcW w:w="1821"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0.02266</w:t>
                  </w:r>
                </w:p>
              </w:tc>
              <w:tc>
                <w:tcPr>
                  <w:tcW w:w="1579"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1.13</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097"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2200</w:t>
                  </w:r>
                </w:p>
              </w:tc>
              <w:tc>
                <w:tcPr>
                  <w:tcW w:w="1843"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5.702E-5</w:t>
                  </w:r>
                </w:p>
              </w:tc>
              <w:tc>
                <w:tcPr>
                  <w:tcW w:w="1702"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0.02</w:t>
                  </w:r>
                </w:p>
              </w:tc>
              <w:tc>
                <w:tcPr>
                  <w:tcW w:w="1821"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0.02138</w:t>
                  </w:r>
                </w:p>
              </w:tc>
              <w:tc>
                <w:tcPr>
                  <w:tcW w:w="1579"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1.07</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097"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2300</w:t>
                  </w:r>
                </w:p>
              </w:tc>
              <w:tc>
                <w:tcPr>
                  <w:tcW w:w="1843"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5.391E-5</w:t>
                  </w:r>
                </w:p>
              </w:tc>
              <w:tc>
                <w:tcPr>
                  <w:tcW w:w="1702"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0.02</w:t>
                  </w:r>
                </w:p>
              </w:tc>
              <w:tc>
                <w:tcPr>
                  <w:tcW w:w="1821"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0.02022</w:t>
                  </w:r>
                </w:p>
              </w:tc>
              <w:tc>
                <w:tcPr>
                  <w:tcW w:w="1579"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1.01</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097"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2400</w:t>
                  </w:r>
                </w:p>
              </w:tc>
              <w:tc>
                <w:tcPr>
                  <w:tcW w:w="1843"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5.108E-5</w:t>
                  </w:r>
                </w:p>
              </w:tc>
              <w:tc>
                <w:tcPr>
                  <w:tcW w:w="1702"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0.02</w:t>
                  </w:r>
                </w:p>
              </w:tc>
              <w:tc>
                <w:tcPr>
                  <w:tcW w:w="1821"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0.01915</w:t>
                  </w:r>
                </w:p>
              </w:tc>
              <w:tc>
                <w:tcPr>
                  <w:tcW w:w="1579"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0.96</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097"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2500</w:t>
                  </w:r>
                </w:p>
              </w:tc>
              <w:tc>
                <w:tcPr>
                  <w:tcW w:w="1843"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4.849E-5</w:t>
                  </w:r>
                </w:p>
              </w:tc>
              <w:tc>
                <w:tcPr>
                  <w:tcW w:w="1702"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0.02</w:t>
                  </w:r>
                </w:p>
              </w:tc>
              <w:tc>
                <w:tcPr>
                  <w:tcW w:w="1821"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0.01818</w:t>
                  </w:r>
                </w:p>
              </w:tc>
              <w:tc>
                <w:tcPr>
                  <w:tcW w:w="1579"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0.91</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097"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下风向最大落地浓度处</w:t>
                  </w:r>
                </w:p>
              </w:tc>
              <w:tc>
                <w:tcPr>
                  <w:tcW w:w="1843"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0.0002524</w:t>
                  </w:r>
                </w:p>
              </w:tc>
              <w:tc>
                <w:tcPr>
                  <w:tcW w:w="1702"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0.08</w:t>
                  </w:r>
                </w:p>
              </w:tc>
              <w:tc>
                <w:tcPr>
                  <w:tcW w:w="1821"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0.09464</w:t>
                  </w:r>
                </w:p>
              </w:tc>
              <w:tc>
                <w:tcPr>
                  <w:tcW w:w="1579" w:type="dxa"/>
                  <w:shd w:val="clear" w:color="auto" w:fill="auto"/>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4.73</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097" w:type="dxa"/>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最大浓度出现距离</w:t>
                  </w:r>
                </w:p>
              </w:tc>
              <w:tc>
                <w:tcPr>
                  <w:tcW w:w="3545" w:type="dxa"/>
                  <w:gridSpan w:val="2"/>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156</w:t>
                  </w:r>
                </w:p>
              </w:tc>
              <w:tc>
                <w:tcPr>
                  <w:tcW w:w="3400" w:type="dxa"/>
                  <w:gridSpan w:val="2"/>
                  <w:vAlign w:val="center"/>
                </w:tcPr>
                <w:p>
                  <w:pPr>
                    <w:adjustRightInd w:val="0"/>
                    <w:snapToGrid w:val="0"/>
                    <w:spacing w:line="240" w:lineRule="auto"/>
                    <w:ind w:firstLine="0" w:firstLineChars="0"/>
                    <w:jc w:val="center"/>
                    <w:rPr>
                      <w:rFonts w:ascii="Times New Roman" w:hAnsi="Times New Roman" w:cs="Times New Roman"/>
                      <w:bCs/>
                      <w:snapToGrid w:val="0"/>
                      <w:spacing w:val="-8"/>
                      <w:sz w:val="21"/>
                      <w:szCs w:val="21"/>
                    </w:rPr>
                  </w:pPr>
                  <w:r>
                    <w:rPr>
                      <w:rFonts w:ascii="Times New Roman" w:hAnsi="Times New Roman" w:cs="Times New Roman"/>
                      <w:bCs/>
                      <w:snapToGrid w:val="0"/>
                      <w:spacing w:val="-8"/>
                      <w:sz w:val="21"/>
                      <w:szCs w:val="21"/>
                    </w:rPr>
                    <w:t>156</w:t>
                  </w:r>
                </w:p>
              </w:tc>
            </w:tr>
          </w:tbl>
          <w:p>
            <w:pPr>
              <w:adjustRightInd w:val="0"/>
              <w:snapToGrid w:val="0"/>
              <w:spacing w:line="440" w:lineRule="exact"/>
              <w:ind w:firstLine="480"/>
              <w:rPr>
                <w:rFonts w:ascii="Times New Roman" w:hAnsi="Times New Roman" w:cs="Times New Roman"/>
              </w:rPr>
            </w:pPr>
            <w:r>
              <w:rPr>
                <w:rFonts w:ascii="Times New Roman" w:hAnsi="Times New Roman" w:cs="Times New Roman"/>
              </w:rPr>
              <w:t>预测结果表明，无组织排放的颗粒物和NMP污染物下风向最大浓度均不超标，最大落地浓度占标率较低。因此，本项目无组织大气污染物的排放对周边大气环境的影响较小。</w:t>
            </w:r>
          </w:p>
          <w:p>
            <w:pPr>
              <w:autoSpaceDE w:val="0"/>
              <w:autoSpaceDN w:val="0"/>
              <w:adjustRightInd w:val="0"/>
              <w:snapToGrid w:val="0"/>
              <w:spacing w:line="440" w:lineRule="exact"/>
              <w:ind w:firstLine="512"/>
              <w:rPr>
                <w:rFonts w:ascii="Times New Roman" w:hAnsi="Times New Roman" w:cs="Times New Roman"/>
                <w:bCs/>
                <w:spacing w:val="8"/>
                <w:szCs w:val="24"/>
              </w:rPr>
            </w:pPr>
            <w:r>
              <w:rPr>
                <w:rFonts w:ascii="Times New Roman" w:hAnsi="Times New Roman" w:cs="Times New Roman"/>
                <w:bCs/>
                <w:spacing w:val="8"/>
                <w:szCs w:val="24"/>
              </w:rPr>
              <w:t>2、水环境影响分析</w:t>
            </w:r>
          </w:p>
          <w:p>
            <w:pPr>
              <w:autoSpaceDE w:val="0"/>
              <w:autoSpaceDN w:val="0"/>
              <w:adjustRightInd w:val="0"/>
              <w:snapToGrid w:val="0"/>
              <w:spacing w:line="440" w:lineRule="exact"/>
              <w:ind w:firstLine="512"/>
              <w:rPr>
                <w:rFonts w:ascii="Times New Roman" w:hAnsi="Times New Roman" w:cs="Times New Roman"/>
                <w:bCs/>
                <w:spacing w:val="8"/>
                <w:szCs w:val="24"/>
              </w:rPr>
            </w:pPr>
            <w:r>
              <w:rPr>
                <w:rFonts w:ascii="Times New Roman" w:hAnsi="Times New Roman" w:cs="Times New Roman"/>
                <w:bCs/>
                <w:spacing w:val="8"/>
                <w:szCs w:val="24"/>
              </w:rPr>
              <w:t>建设项目实行雨污分流，</w:t>
            </w:r>
            <w:r>
              <w:rPr>
                <w:rFonts w:ascii="Times New Roman" w:hAnsi="Times New Roman" w:cs="Times New Roman"/>
                <w:szCs w:val="24"/>
              </w:rPr>
              <w:t>生产废水产生量3040</w:t>
            </w:r>
            <w:r>
              <w:rPr>
                <w:rFonts w:ascii="Times New Roman" w:hAnsi="Times New Roman" w:cs="Times New Roman"/>
                <w:bCs/>
                <w:szCs w:val="24"/>
              </w:rPr>
              <w:t>m</w:t>
            </w:r>
            <w:r>
              <w:rPr>
                <w:rFonts w:ascii="Times New Roman" w:hAnsi="Times New Roman" w:cs="Times New Roman"/>
                <w:bCs/>
                <w:szCs w:val="24"/>
                <w:vertAlign w:val="superscript"/>
              </w:rPr>
              <w:t>3</w:t>
            </w:r>
            <w:r>
              <w:rPr>
                <w:rFonts w:ascii="Times New Roman" w:hAnsi="Times New Roman" w:cs="Times New Roman"/>
                <w:szCs w:val="24"/>
              </w:rPr>
              <w:t>/a，废水采用一套“二级混凝沉淀+微电解+生化处理”污水处理系统对工业废水进行处理；</w:t>
            </w:r>
            <w:r>
              <w:rPr>
                <w:rFonts w:ascii="Times New Roman" w:hAnsi="Times New Roman" w:cs="Times New Roman"/>
                <w:bCs/>
                <w:spacing w:val="8"/>
                <w:szCs w:val="24"/>
              </w:rPr>
              <w:t>生活污水</w:t>
            </w:r>
            <w:r>
              <w:rPr>
                <w:rFonts w:ascii="Times New Roman" w:hAnsi="Times New Roman" w:cs="Times New Roman"/>
                <w:szCs w:val="24"/>
              </w:rPr>
              <w:t>12768</w:t>
            </w:r>
            <w:r>
              <w:rPr>
                <w:rFonts w:ascii="Times New Roman" w:hAnsi="Times New Roman" w:cs="Times New Roman"/>
                <w:bCs/>
                <w:szCs w:val="24"/>
              </w:rPr>
              <w:t>m</w:t>
            </w:r>
            <w:r>
              <w:rPr>
                <w:rFonts w:ascii="Times New Roman" w:hAnsi="Times New Roman" w:cs="Times New Roman"/>
                <w:bCs/>
                <w:szCs w:val="24"/>
                <w:vertAlign w:val="superscript"/>
              </w:rPr>
              <w:t>3</w:t>
            </w:r>
            <w:r>
              <w:rPr>
                <w:rFonts w:ascii="Times New Roman" w:hAnsi="Times New Roman" w:cs="Times New Roman"/>
                <w:szCs w:val="24"/>
              </w:rPr>
              <w:t>/a，生活污水经化粪池预处理后与工业废水一同排入六合区污水处理厂</w:t>
            </w:r>
            <w:r>
              <w:rPr>
                <w:rFonts w:ascii="Times New Roman" w:hAnsi="Times New Roman" w:cs="Times New Roman"/>
                <w:spacing w:val="-1"/>
              </w:rPr>
              <w:t>处理达到《城镇污水</w:t>
            </w:r>
            <w:r>
              <w:rPr>
                <w:rFonts w:ascii="Times New Roman" w:hAnsi="Times New Roman" w:cs="Times New Roman"/>
                <w:spacing w:val="-3"/>
              </w:rPr>
              <w:t>处理厂污染物排放标准》（GB18918-2002）一级</w:t>
            </w:r>
            <w:r>
              <w:rPr>
                <w:rFonts w:ascii="Times New Roman" w:hAnsi="Times New Roman" w:cs="Times New Roman"/>
              </w:rPr>
              <w:t>A</w:t>
            </w:r>
            <w:r>
              <w:rPr>
                <w:rFonts w:ascii="Times New Roman" w:hAnsi="Times New Roman" w:cs="Times New Roman"/>
                <w:spacing w:val="2"/>
              </w:rPr>
              <w:t>标准后排入滁河，对区域地表水环境影响较小。</w:t>
            </w:r>
          </w:p>
          <w:p>
            <w:pPr>
              <w:autoSpaceDE w:val="0"/>
              <w:autoSpaceDN w:val="0"/>
              <w:adjustRightInd w:val="0"/>
              <w:snapToGrid w:val="0"/>
              <w:spacing w:line="440" w:lineRule="exact"/>
              <w:ind w:firstLine="512"/>
              <w:rPr>
                <w:rFonts w:ascii="Times New Roman" w:hAnsi="Times New Roman" w:cs="Times New Roman"/>
                <w:bCs/>
                <w:spacing w:val="8"/>
                <w:szCs w:val="24"/>
              </w:rPr>
            </w:pPr>
            <w:r>
              <w:rPr>
                <w:rFonts w:ascii="Times New Roman" w:hAnsi="Times New Roman" w:cs="Times New Roman"/>
                <w:bCs/>
                <w:spacing w:val="8"/>
                <w:szCs w:val="24"/>
              </w:rPr>
              <w:t>（1）污水处理工艺流程</w:t>
            </w:r>
          </w:p>
          <w:p>
            <w:pPr>
              <w:spacing w:line="440" w:lineRule="exact"/>
              <w:ind w:firstLine="480"/>
              <w:rPr>
                <w:rFonts w:ascii="Times New Roman" w:hAnsi="Times New Roman" w:cs="Times New Roman"/>
              </w:rPr>
            </w:pPr>
            <w:r>
              <w:rPr>
                <w:rFonts w:ascii="Times New Roman" w:hAnsi="Times New Roman" w:cs="Times New Roman"/>
              </w:rPr>
              <w:t>1)电池清洗水及地面冲洗水的污水经过管道收集至集水池中，通过集水池中的污水提升泵提升至一级混凝反应沉淀器中，在混凝反应单元中加药（药剂：PAC、PAM、NaOH）混凝后，污水自流至沉淀单元；</w:t>
            </w:r>
          </w:p>
          <w:p>
            <w:pPr>
              <w:spacing w:line="440" w:lineRule="exact"/>
              <w:ind w:firstLine="480"/>
              <w:rPr>
                <w:rFonts w:ascii="Times New Roman" w:hAnsi="Times New Roman" w:cs="Times New Roman"/>
              </w:rPr>
            </w:pPr>
            <w:r>
              <w:rPr>
                <w:rFonts w:ascii="Times New Roman" w:hAnsi="Times New Roman" w:cs="Times New Roman"/>
              </w:rPr>
              <w:t>2)一级混凝反应沉淀器出水自流至二级混凝反应沉淀器，同样在混凝反应单元中加药（药剂：PAC、PAM、NaOH）混凝后，污水自流至沉淀单元；</w:t>
            </w:r>
          </w:p>
          <w:p>
            <w:pPr>
              <w:spacing w:line="440" w:lineRule="exact"/>
              <w:ind w:firstLine="480"/>
              <w:rPr>
                <w:rFonts w:ascii="Times New Roman" w:hAnsi="Times New Roman" w:cs="Times New Roman"/>
              </w:rPr>
            </w:pPr>
            <w:r>
              <w:rPr>
                <w:rFonts w:ascii="Times New Roman" w:hAnsi="Times New Roman" w:cs="Times New Roman"/>
              </w:rPr>
              <w:t>3)经过两级混凝沉淀的污水已经去除了大量的SS及部分污染物，出水自流至PH调节池，在PH调节池中通过加药（药剂：NaOH）将出水的PH至调至3.5左右，该PH值下微电解反应能发挥最好的处理作用；</w:t>
            </w:r>
          </w:p>
          <w:p>
            <w:pPr>
              <w:spacing w:line="440" w:lineRule="exact"/>
              <w:ind w:firstLine="480"/>
              <w:rPr>
                <w:rFonts w:ascii="Times New Roman" w:hAnsi="Times New Roman" w:cs="Times New Roman"/>
              </w:rPr>
            </w:pPr>
            <w:r>
              <w:rPr>
                <w:rFonts w:ascii="Times New Roman" w:hAnsi="Times New Roman" w:cs="Times New Roman"/>
              </w:rPr>
              <w:t>4)PH调节池出水自流进入微电解反应器，在微电解反应器中填加铁碳填料，经过微电解反应器中发生的氧化还原反应、原电池反应、电化学富集、物理吸附、铁离子的混凝沉淀作用以及电子传递作用等提高废水的可生化性能、去除SS；</w:t>
            </w:r>
          </w:p>
          <w:p>
            <w:pPr>
              <w:spacing w:line="440" w:lineRule="exact"/>
              <w:ind w:firstLine="480"/>
              <w:rPr>
                <w:rFonts w:ascii="Times New Roman" w:hAnsi="Times New Roman" w:cs="Times New Roman"/>
              </w:rPr>
            </w:pPr>
            <w:r>
              <w:rPr>
                <w:rFonts w:ascii="Times New Roman" w:hAnsi="Times New Roman" w:cs="Times New Roman"/>
              </w:rPr>
              <w:t>5)微电解反应池出水pH值一般为6左右，所以需要对pH值进行回调至中性，以适应后段反应。微电解出水自流进入pH回调池，在pH回调池中通过加酸碱调节pH值至中性；</w:t>
            </w:r>
          </w:p>
          <w:p>
            <w:pPr>
              <w:spacing w:line="440" w:lineRule="exact"/>
              <w:ind w:firstLine="480"/>
              <w:rPr>
                <w:rFonts w:ascii="Times New Roman" w:hAnsi="Times New Roman" w:cs="Times New Roman"/>
              </w:rPr>
            </w:pPr>
            <w:r>
              <w:rPr>
                <w:rFonts w:ascii="Times New Roman" w:hAnsi="Times New Roman" w:cs="Times New Roman"/>
              </w:rPr>
              <w:t>6)pH回调池出水自流至生化处理系统，同时厂区生活污水通过调节池收集后，经过格栅去除较大的杂物后用提升泵提升至生化处理系统中。首先进入的是厌氧池，在厌氧池中利用厌氧菌的作用，使有机物发生水解、酸化和甲烷化，去除废水中的有机物，并提高污水的可生化性；</w:t>
            </w:r>
          </w:p>
          <w:p>
            <w:pPr>
              <w:spacing w:line="440" w:lineRule="exact"/>
              <w:ind w:firstLine="480"/>
              <w:rPr>
                <w:rFonts w:ascii="Times New Roman" w:hAnsi="Times New Roman" w:cs="Times New Roman"/>
              </w:rPr>
            </w:pPr>
            <w:r>
              <w:rPr>
                <w:rFonts w:ascii="Times New Roman" w:hAnsi="Times New Roman" w:cs="Times New Roman"/>
              </w:rPr>
              <w:t>7)厌氧池出水自流进入缺氧池，设计在缺氧池中安装生物填料，使微生物附着在填料上。在池底采用微孔曝气的方式利用鼓风机供氧，并控制供氧量，使池体微生物处于缺氧的状态。缺氧池的作用是将水中难降解的大分子有机物经过兼性细菌的作用，分解成为易生物降解的小分子有机物，提高B/C比，提高后续生化降解的能力；</w:t>
            </w:r>
          </w:p>
          <w:p>
            <w:pPr>
              <w:spacing w:line="440" w:lineRule="exact"/>
              <w:ind w:firstLine="480"/>
              <w:rPr>
                <w:rFonts w:ascii="Times New Roman" w:hAnsi="Times New Roman" w:cs="Times New Roman"/>
              </w:rPr>
            </w:pPr>
            <w:r>
              <w:rPr>
                <w:rFonts w:ascii="Times New Roman" w:hAnsi="Times New Roman" w:cs="Times New Roman"/>
              </w:rPr>
              <w:t>8)缺氧池出水自流进入好氧池，设计在好氧池中安装生物填料，使微生物附着在填料上。在池底采用微孔曝气的方式利用鼓风机供氧，并控制供氧量，使池体微生物处于好氧的状态。好氧微生物在好氧条件下对废水中的有机物进行最终降解，将有机物分解为无机物质，至此污水已完成“厌氧—缺氧—好氧”的生物处理；</w:t>
            </w:r>
          </w:p>
          <w:p>
            <w:pPr>
              <w:spacing w:line="440" w:lineRule="exact"/>
              <w:ind w:firstLine="480"/>
              <w:rPr>
                <w:rFonts w:ascii="Times New Roman" w:hAnsi="Times New Roman" w:cs="Times New Roman"/>
              </w:rPr>
            </w:pPr>
            <w:r>
              <w:rPr>
                <w:rFonts w:ascii="Times New Roman" w:hAnsi="Times New Roman" w:cs="Times New Roman"/>
              </w:rPr>
              <w:t>9)污水经过好氧处理后，夹带氧化过程中产生的少量的活性污泥及新陈代谢脱落的生物膜，以及不能进行生物降解的少量固形物，进入二沉池进行固液分离，使水得到澄清排出，二沉池水中的悬浮物部分沉降于池底，在池内通过污泥泵将部分污泥回流至厌氧池；</w:t>
            </w:r>
          </w:p>
          <w:p>
            <w:pPr>
              <w:spacing w:line="440" w:lineRule="exact"/>
              <w:ind w:firstLine="480"/>
              <w:rPr>
                <w:rFonts w:ascii="Times New Roman" w:hAnsi="Times New Roman" w:cs="Times New Roman"/>
              </w:rPr>
            </w:pPr>
            <w:r>
              <w:rPr>
                <w:rFonts w:ascii="Times New Roman" w:hAnsi="Times New Roman" w:cs="Times New Roman"/>
              </w:rPr>
              <w:t>10)二沉池出水自流进入中间水池，后经过二级提升泵提升至活性炭过滤器中，污水经过活性炭过滤器，通过活性炭颗粒非常多的微孔和巨大的比表面积及其强大的物理吸附能力，可以去除水中的有机物、气味等，后进入景观回用水池，或者检测达标后排放；</w:t>
            </w:r>
          </w:p>
          <w:p>
            <w:pPr>
              <w:spacing w:line="440" w:lineRule="exact"/>
              <w:ind w:firstLine="480"/>
              <w:rPr>
                <w:rFonts w:ascii="Times New Roman" w:hAnsi="Times New Roman" w:cs="Times New Roman"/>
              </w:rPr>
            </w:pPr>
            <w:r>
              <w:rPr>
                <w:rFonts w:ascii="Times New Roman" w:hAnsi="Times New Roman" w:cs="Times New Roman"/>
              </w:rPr>
              <w:t>11)污泥浓缩池承接二沉池的剩余污泥以及生化处理产生的污泥，通过污泥浓缩池降低污泥的含水率，提高污泥的含固率，去除一部分污泥颗粒间隙水（游离水），从而降低了后续脱水处理中污泥体积。浓缩后含固率的提高会使污泥的体积大幅度的减少，从而可以大大降低脱水过程的投资和运行费用；</w:t>
            </w:r>
          </w:p>
          <w:p>
            <w:pPr>
              <w:spacing w:line="440" w:lineRule="exact"/>
              <w:ind w:firstLine="480"/>
              <w:rPr>
                <w:rFonts w:ascii="Times New Roman" w:hAnsi="Times New Roman" w:cs="Times New Roman"/>
              </w:rPr>
            </w:pPr>
            <w:r>
              <w:rPr>
                <w:rFonts w:ascii="Times New Roman" w:hAnsi="Times New Roman" w:cs="Times New Roman"/>
              </w:rPr>
              <w:t>12)经过污泥浓缩池处理的污泥，由污泥螺杆泵抽入污泥脱水设备（压滤机）中，在压滤机的作用下，进一步降低污泥的含水率，将污泥压榨成泥饼后做定期外运处理。至此，完成整个污水处理系统的污水及污泥处理过程。</w:t>
            </w:r>
          </w:p>
          <w:p>
            <w:pPr>
              <w:spacing w:line="440" w:lineRule="exact"/>
              <w:ind w:firstLine="480"/>
              <w:rPr>
                <w:rFonts w:ascii="Times New Roman" w:hAnsi="Times New Roman" w:cs="Times New Roman"/>
              </w:rPr>
            </w:pPr>
            <w:r>
              <w:rPr>
                <w:rFonts w:ascii="Times New Roman" w:hAnsi="Times New Roman" w:cs="Times New Roman"/>
              </w:rPr>
              <w:t>该装置设计的处理效率为COD90%、SS85%、石油类60%，采用该套装置对项目进行处理后的主要水污染物浓度为COD63.4mg/L、SS42.6mg/L、石油类12mg/L，在正常运行状态下出水可以满足相关要求。</w:t>
            </w:r>
          </w:p>
          <w:p>
            <w:pPr>
              <w:autoSpaceDE w:val="0"/>
              <w:autoSpaceDN w:val="0"/>
              <w:adjustRightInd w:val="0"/>
              <w:snapToGrid w:val="0"/>
              <w:spacing w:line="440" w:lineRule="exact"/>
              <w:ind w:firstLine="512" w:firstLineChars="0"/>
              <w:rPr>
                <w:rFonts w:ascii="Times New Roman" w:hAnsi="Times New Roman" w:cs="Times New Roman"/>
                <w:bCs/>
                <w:spacing w:val="8"/>
                <w:szCs w:val="24"/>
              </w:rPr>
            </w:pPr>
            <w:r>
              <w:rPr>
                <w:rFonts w:ascii="Times New Roman" w:hAnsi="Times New Roman" w:cs="Times New Roman"/>
                <w:bCs/>
                <w:spacing w:val="8"/>
                <w:szCs w:val="24"/>
              </w:rPr>
              <w:t>（2）六合区污水处理厂简介</w:t>
            </w:r>
          </w:p>
          <w:p>
            <w:pPr>
              <w:autoSpaceDE w:val="0"/>
              <w:autoSpaceDN w:val="0"/>
              <w:adjustRightInd w:val="0"/>
              <w:snapToGrid w:val="0"/>
              <w:spacing w:line="440" w:lineRule="exact"/>
              <w:ind w:firstLine="512" w:firstLineChars="0"/>
              <w:rPr>
                <w:rFonts w:ascii="Times New Roman" w:hAnsi="Times New Roman" w:cs="Times New Roman"/>
                <w:bCs/>
                <w:spacing w:val="8"/>
                <w:szCs w:val="24"/>
              </w:rPr>
            </w:pPr>
            <w:r>
              <w:rPr>
                <w:rFonts w:ascii="Times New Roman" w:hAnsi="Times New Roman" w:cs="Times New Roman"/>
                <w:bCs/>
                <w:spacing w:val="8"/>
                <w:szCs w:val="24"/>
              </w:rPr>
              <w:t>六合区污水处理厂位于雍六公路南侧滁河东岸，现有污水处理规模为40000m</w:t>
            </w:r>
            <w:r>
              <w:rPr>
                <w:rFonts w:ascii="Times New Roman" w:hAnsi="Times New Roman" w:cs="Times New Roman"/>
                <w:bCs/>
                <w:spacing w:val="8"/>
                <w:szCs w:val="24"/>
                <w:vertAlign w:val="superscript"/>
              </w:rPr>
              <w:t>3</w:t>
            </w:r>
            <w:r>
              <w:rPr>
                <w:rFonts w:ascii="Times New Roman" w:hAnsi="Times New Roman" w:cs="Times New Roman"/>
                <w:bCs/>
                <w:spacing w:val="8"/>
                <w:szCs w:val="24"/>
              </w:rPr>
              <w:t>/d，收水范围为滁河两岸（即滁南滁北片区）及六合开发区产生的污水，采用工艺流程简捷、出水稳定的CAST工艺，尾水排入滁河。污水处理厂接管标准执</w:t>
            </w:r>
            <w:r>
              <w:rPr>
                <w:rFonts w:ascii="Times New Roman" w:hAnsi="Times New Roman" w:cs="Times New Roman"/>
                <w:spacing w:val="-3"/>
                <w:w w:val="105"/>
              </w:rPr>
              <w:t>行《污水排入城镇下水管道水质标准》（CJ343-2010）中</w:t>
            </w:r>
            <w:r>
              <w:rPr>
                <w:rFonts w:ascii="Times New Roman" w:hAnsi="Times New Roman" w:cs="Times New Roman"/>
                <w:spacing w:val="-97"/>
                <w:w w:val="105"/>
              </w:rPr>
              <w:t xml:space="preserve"> </w:t>
            </w:r>
            <w:r>
              <w:rPr>
                <w:rFonts w:ascii="Times New Roman" w:hAnsi="Times New Roman" w:cs="Times New Roman"/>
                <w:w w:val="105"/>
              </w:rPr>
              <w:t>B等级标准，污水处理厂尾水排放标准执行（GB18918-200</w:t>
            </w:r>
            <w:r>
              <w:rPr>
                <w:rFonts w:ascii="Times New Roman" w:hAnsi="Times New Roman" w:cs="Times New Roman"/>
                <w:bCs/>
                <w:spacing w:val="8"/>
                <w:szCs w:val="24"/>
              </w:rPr>
              <w:t>2）一级A标准要求。处理工艺流程见图5。</w:t>
            </w:r>
          </w:p>
          <w:p>
            <w:pPr>
              <w:widowControl/>
              <w:spacing w:line="240" w:lineRule="auto"/>
              <w:ind w:firstLine="480" w:firstLineChars="0"/>
              <w:jc w:val="center"/>
              <w:rPr>
                <w:rFonts w:ascii="Times New Roman" w:hAnsi="Times New Roman" w:cs="Times New Roman"/>
                <w:kern w:val="0"/>
                <w:szCs w:val="24"/>
              </w:rPr>
            </w:pPr>
            <w:r>
              <w:rPr>
                <w:rFonts w:ascii="Times New Roman" w:hAnsi="Times New Roman" w:cs="Times New Roman"/>
                <w:kern w:val="0"/>
                <w:szCs w:val="24"/>
              </w:rPr>
              <w:drawing>
                <wp:inline distT="0" distB="0" distL="114300" distR="114300">
                  <wp:extent cx="4323080" cy="2169795"/>
                  <wp:effectExtent l="0" t="0" r="1270" b="1905"/>
                  <wp:docPr id="32" name="图片 5" descr="`ZI[[Z`HND7_K%}}B35X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 descr="`ZI[[Z`HND7_K%}}B35XB{H"/>
                          <pic:cNvPicPr>
                            <a:picLocks noChangeAspect="1"/>
                          </pic:cNvPicPr>
                        </pic:nvPicPr>
                        <pic:blipFill>
                          <a:blip r:embed="rId18"/>
                          <a:stretch>
                            <a:fillRect/>
                          </a:stretch>
                        </pic:blipFill>
                        <pic:spPr>
                          <a:xfrm>
                            <a:off x="0" y="0"/>
                            <a:ext cx="4323080" cy="2169795"/>
                          </a:xfrm>
                          <a:prstGeom prst="rect">
                            <a:avLst/>
                          </a:prstGeom>
                          <a:noFill/>
                          <a:ln w="9525">
                            <a:noFill/>
                          </a:ln>
                        </pic:spPr>
                      </pic:pic>
                    </a:graphicData>
                  </a:graphic>
                </wp:inline>
              </w:drawing>
            </w:r>
          </w:p>
          <w:p>
            <w:pPr>
              <w:autoSpaceDE w:val="0"/>
              <w:autoSpaceDN w:val="0"/>
              <w:adjustRightInd w:val="0"/>
              <w:snapToGrid w:val="0"/>
              <w:spacing w:line="440" w:lineRule="exact"/>
              <w:ind w:firstLine="0" w:firstLineChars="0"/>
              <w:jc w:val="center"/>
              <w:rPr>
                <w:rFonts w:ascii="Times New Roman" w:hAnsi="Times New Roman" w:eastAsia="黑体" w:cs="Times New Roman"/>
                <w:bCs/>
                <w:spacing w:val="8"/>
                <w:szCs w:val="24"/>
              </w:rPr>
            </w:pPr>
            <w:r>
              <w:rPr>
                <w:rFonts w:ascii="Times New Roman" w:hAnsi="Times New Roman" w:eastAsia="黑体" w:cs="Times New Roman"/>
                <w:bCs/>
                <w:spacing w:val="8"/>
                <w:szCs w:val="24"/>
              </w:rPr>
              <w:t>图5  六合区污水处理厂污水处理工艺流程图</w:t>
            </w:r>
          </w:p>
          <w:p>
            <w:pPr>
              <w:autoSpaceDE w:val="0"/>
              <w:autoSpaceDN w:val="0"/>
              <w:adjustRightInd w:val="0"/>
              <w:snapToGrid w:val="0"/>
              <w:spacing w:line="440" w:lineRule="exact"/>
              <w:ind w:firstLine="512" w:firstLineChars="0"/>
              <w:rPr>
                <w:rFonts w:ascii="Times New Roman" w:hAnsi="Times New Roman" w:cs="Times New Roman"/>
                <w:bCs/>
                <w:spacing w:val="8"/>
                <w:szCs w:val="24"/>
              </w:rPr>
            </w:pPr>
            <w:r>
              <w:rPr>
                <w:rFonts w:ascii="Times New Roman" w:hAnsi="Times New Roman" w:cs="Times New Roman"/>
                <w:bCs/>
                <w:spacing w:val="8"/>
                <w:szCs w:val="24"/>
              </w:rPr>
              <w:t>六合区污水处理厂的进、出水水质指标见表25。</w:t>
            </w:r>
          </w:p>
          <w:p>
            <w:pPr>
              <w:adjustRightInd w:val="0"/>
              <w:snapToGrid w:val="0"/>
              <w:spacing w:line="560" w:lineRule="exact"/>
              <w:ind w:firstLine="0" w:firstLineChars="0"/>
              <w:jc w:val="center"/>
              <w:rPr>
                <w:rFonts w:ascii="Times New Roman" w:hAnsi="Times New Roman" w:eastAsia="黑体" w:cs="Times New Roman"/>
              </w:rPr>
            </w:pPr>
            <w:r>
              <w:rPr>
                <w:rFonts w:ascii="Times New Roman" w:hAnsi="Times New Roman" w:eastAsia="黑体" w:cs="Times New Roman"/>
              </w:rPr>
              <w:t>表25  六合区污水处理厂的接管与排放要求</w:t>
            </w:r>
          </w:p>
          <w:tbl>
            <w:tblPr>
              <w:tblStyle w:val="11"/>
              <w:tblW w:w="9042" w:type="dxa"/>
              <w:tblInd w:w="0" w:type="dxa"/>
              <w:tblLayout w:type="fixed"/>
              <w:tblCellMar>
                <w:top w:w="0" w:type="dxa"/>
                <w:left w:w="0" w:type="dxa"/>
                <w:bottom w:w="0" w:type="dxa"/>
                <w:right w:w="0" w:type="dxa"/>
              </w:tblCellMar>
            </w:tblPr>
            <w:tblGrid>
              <w:gridCol w:w="2535"/>
              <w:gridCol w:w="2729"/>
              <w:gridCol w:w="3778"/>
            </w:tblGrid>
            <w:tr>
              <w:tblPrEx>
                <w:tblLayout w:type="fixed"/>
                <w:tblCellMar>
                  <w:top w:w="0" w:type="dxa"/>
                  <w:left w:w="0" w:type="dxa"/>
                  <w:bottom w:w="0" w:type="dxa"/>
                  <w:right w:w="0" w:type="dxa"/>
                </w:tblCellMar>
              </w:tblPrEx>
              <w:trPr>
                <w:trHeight w:val="340" w:hRule="atLeast"/>
              </w:trPr>
              <w:tc>
                <w:tcPr>
                  <w:tcW w:w="2535" w:type="dxa"/>
                  <w:tcBorders>
                    <w:top w:val="single" w:color="auto" w:sz="4" w:space="0"/>
                    <w:left w:val="nil"/>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项目</w:t>
                  </w:r>
                </w:p>
              </w:tc>
              <w:tc>
                <w:tcPr>
                  <w:tcW w:w="2729" w:type="dxa"/>
                  <w:tcBorders>
                    <w:top w:val="single" w:color="auto" w:sz="4" w:space="0"/>
                    <w:left w:val="single" w:color="000000" w:sz="2" w:space="0"/>
                    <w:bottom w:val="single" w:color="000000" w:sz="2" w:space="0"/>
                    <w:right w:val="single" w:color="000000" w:sz="4"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接管要求（mg/L）</w:t>
                  </w:r>
                </w:p>
              </w:tc>
              <w:tc>
                <w:tcPr>
                  <w:tcW w:w="3778" w:type="dxa"/>
                  <w:tcBorders>
                    <w:top w:val="single" w:color="auto" w:sz="4" w:space="0"/>
                    <w:left w:val="single" w:color="000000" w:sz="4" w:space="0"/>
                    <w:bottom w:val="single" w:color="000000" w:sz="2" w:space="0"/>
                    <w:right w:val="nil"/>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排放标准限值（mg/L）</w:t>
                  </w:r>
                </w:p>
              </w:tc>
            </w:tr>
            <w:tr>
              <w:tblPrEx>
                <w:tblLayout w:type="fixed"/>
                <w:tblCellMar>
                  <w:top w:w="0" w:type="dxa"/>
                  <w:left w:w="0" w:type="dxa"/>
                  <w:bottom w:w="0" w:type="dxa"/>
                  <w:right w:w="0" w:type="dxa"/>
                </w:tblCellMar>
              </w:tblPrEx>
              <w:trPr>
                <w:trHeight w:val="340" w:hRule="atLeast"/>
              </w:trPr>
              <w:tc>
                <w:tcPr>
                  <w:tcW w:w="2535" w:type="dxa"/>
                  <w:tcBorders>
                    <w:top w:val="single" w:color="000000" w:sz="2" w:space="0"/>
                    <w:left w:val="nil"/>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pH（无量纲）</w:t>
                  </w:r>
                </w:p>
              </w:tc>
              <w:tc>
                <w:tcPr>
                  <w:tcW w:w="2729" w:type="dxa"/>
                  <w:tcBorders>
                    <w:top w:val="single" w:color="000000" w:sz="2" w:space="0"/>
                    <w:left w:val="single" w:color="000000" w:sz="2" w:space="0"/>
                    <w:bottom w:val="single" w:color="000000" w:sz="2" w:space="0"/>
                    <w:right w:val="single" w:color="000000" w:sz="4"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6~9</w:t>
                  </w:r>
                </w:p>
              </w:tc>
              <w:tc>
                <w:tcPr>
                  <w:tcW w:w="3778" w:type="dxa"/>
                  <w:tcBorders>
                    <w:top w:val="single" w:color="000000" w:sz="2" w:space="0"/>
                    <w:left w:val="single" w:color="000000" w:sz="4" w:space="0"/>
                    <w:bottom w:val="single" w:color="000000" w:sz="2" w:space="0"/>
                    <w:right w:val="nil"/>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6~9</w:t>
                  </w:r>
                </w:p>
              </w:tc>
            </w:tr>
            <w:tr>
              <w:tblPrEx>
                <w:tblLayout w:type="fixed"/>
                <w:tblCellMar>
                  <w:top w:w="0" w:type="dxa"/>
                  <w:left w:w="0" w:type="dxa"/>
                  <w:bottom w:w="0" w:type="dxa"/>
                  <w:right w:w="0" w:type="dxa"/>
                </w:tblCellMar>
              </w:tblPrEx>
              <w:trPr>
                <w:trHeight w:val="340" w:hRule="atLeast"/>
              </w:trPr>
              <w:tc>
                <w:tcPr>
                  <w:tcW w:w="2535" w:type="dxa"/>
                  <w:tcBorders>
                    <w:top w:val="single" w:color="000000" w:sz="2" w:space="0"/>
                    <w:left w:val="nil"/>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COD</w:t>
                  </w:r>
                </w:p>
              </w:tc>
              <w:tc>
                <w:tcPr>
                  <w:tcW w:w="2729" w:type="dxa"/>
                  <w:tcBorders>
                    <w:top w:val="single" w:color="000000" w:sz="2" w:space="0"/>
                    <w:left w:val="single" w:color="000000" w:sz="2" w:space="0"/>
                    <w:bottom w:val="single" w:color="000000" w:sz="2" w:space="0"/>
                    <w:right w:val="single" w:color="000000" w:sz="4"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500</w:t>
                  </w:r>
                </w:p>
              </w:tc>
              <w:tc>
                <w:tcPr>
                  <w:tcW w:w="3778" w:type="dxa"/>
                  <w:tcBorders>
                    <w:top w:val="single" w:color="000000" w:sz="2" w:space="0"/>
                    <w:left w:val="single" w:color="000000" w:sz="4" w:space="0"/>
                    <w:bottom w:val="single" w:color="000000" w:sz="2" w:space="0"/>
                    <w:right w:val="nil"/>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50</w:t>
                  </w:r>
                </w:p>
              </w:tc>
            </w:tr>
            <w:tr>
              <w:tblPrEx>
                <w:tblLayout w:type="fixed"/>
                <w:tblCellMar>
                  <w:top w:w="0" w:type="dxa"/>
                  <w:left w:w="0" w:type="dxa"/>
                  <w:bottom w:w="0" w:type="dxa"/>
                  <w:right w:w="0" w:type="dxa"/>
                </w:tblCellMar>
              </w:tblPrEx>
              <w:trPr>
                <w:trHeight w:val="340" w:hRule="atLeast"/>
              </w:trPr>
              <w:tc>
                <w:tcPr>
                  <w:tcW w:w="2535" w:type="dxa"/>
                  <w:tcBorders>
                    <w:top w:val="single" w:color="000000" w:sz="2" w:space="0"/>
                    <w:left w:val="nil"/>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SS</w:t>
                  </w:r>
                </w:p>
              </w:tc>
              <w:tc>
                <w:tcPr>
                  <w:tcW w:w="2729" w:type="dxa"/>
                  <w:tcBorders>
                    <w:top w:val="single" w:color="000000" w:sz="2" w:space="0"/>
                    <w:left w:val="single" w:color="000000" w:sz="2" w:space="0"/>
                    <w:bottom w:val="single" w:color="000000" w:sz="2" w:space="0"/>
                    <w:right w:val="single" w:color="000000" w:sz="4"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400</w:t>
                  </w:r>
                </w:p>
              </w:tc>
              <w:tc>
                <w:tcPr>
                  <w:tcW w:w="3778" w:type="dxa"/>
                  <w:tcBorders>
                    <w:top w:val="single" w:color="000000" w:sz="2" w:space="0"/>
                    <w:left w:val="single" w:color="000000" w:sz="4" w:space="0"/>
                    <w:bottom w:val="single" w:color="000000" w:sz="2" w:space="0"/>
                    <w:right w:val="nil"/>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10</w:t>
                  </w:r>
                </w:p>
              </w:tc>
            </w:tr>
            <w:tr>
              <w:tblPrEx>
                <w:tblLayout w:type="fixed"/>
                <w:tblCellMar>
                  <w:top w:w="0" w:type="dxa"/>
                  <w:left w:w="0" w:type="dxa"/>
                  <w:bottom w:w="0" w:type="dxa"/>
                  <w:right w:w="0" w:type="dxa"/>
                </w:tblCellMar>
              </w:tblPrEx>
              <w:trPr>
                <w:trHeight w:val="340" w:hRule="atLeast"/>
              </w:trPr>
              <w:tc>
                <w:tcPr>
                  <w:tcW w:w="2535" w:type="dxa"/>
                  <w:tcBorders>
                    <w:top w:val="single" w:color="000000" w:sz="2" w:space="0"/>
                    <w:left w:val="nil"/>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氨氮</w:t>
                  </w:r>
                </w:p>
              </w:tc>
              <w:tc>
                <w:tcPr>
                  <w:tcW w:w="2729" w:type="dxa"/>
                  <w:tcBorders>
                    <w:top w:val="single" w:color="000000" w:sz="2" w:space="0"/>
                    <w:left w:val="single" w:color="000000" w:sz="2" w:space="0"/>
                    <w:bottom w:val="single" w:color="000000" w:sz="2" w:space="0"/>
                    <w:right w:val="single" w:color="000000" w:sz="4"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45</w:t>
                  </w:r>
                </w:p>
              </w:tc>
              <w:tc>
                <w:tcPr>
                  <w:tcW w:w="3778" w:type="dxa"/>
                  <w:tcBorders>
                    <w:top w:val="single" w:color="000000" w:sz="2" w:space="0"/>
                    <w:left w:val="single" w:color="000000" w:sz="4" w:space="0"/>
                    <w:bottom w:val="single" w:color="000000" w:sz="2" w:space="0"/>
                    <w:right w:val="nil"/>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5</w:t>
                  </w:r>
                </w:p>
              </w:tc>
            </w:tr>
            <w:tr>
              <w:tblPrEx>
                <w:tblLayout w:type="fixed"/>
                <w:tblCellMar>
                  <w:top w:w="0" w:type="dxa"/>
                  <w:left w:w="0" w:type="dxa"/>
                  <w:bottom w:w="0" w:type="dxa"/>
                  <w:right w:w="0" w:type="dxa"/>
                </w:tblCellMar>
              </w:tblPrEx>
              <w:trPr>
                <w:trHeight w:val="340" w:hRule="atLeast"/>
              </w:trPr>
              <w:tc>
                <w:tcPr>
                  <w:tcW w:w="2535" w:type="dxa"/>
                  <w:tcBorders>
                    <w:top w:val="single" w:color="000000" w:sz="2" w:space="0"/>
                    <w:left w:val="nil"/>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石油类</w:t>
                  </w:r>
                </w:p>
              </w:tc>
              <w:tc>
                <w:tcPr>
                  <w:tcW w:w="2729" w:type="dxa"/>
                  <w:tcBorders>
                    <w:top w:val="single" w:color="000000" w:sz="2" w:space="0"/>
                    <w:left w:val="single" w:color="000000" w:sz="2" w:space="0"/>
                    <w:bottom w:val="single" w:color="000000" w:sz="2" w:space="0"/>
                    <w:right w:val="single" w:color="000000" w:sz="4"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20</w:t>
                  </w:r>
                </w:p>
              </w:tc>
              <w:tc>
                <w:tcPr>
                  <w:tcW w:w="3778" w:type="dxa"/>
                  <w:tcBorders>
                    <w:top w:val="single" w:color="000000" w:sz="2" w:space="0"/>
                    <w:left w:val="single" w:color="000000" w:sz="4" w:space="0"/>
                    <w:bottom w:val="single" w:color="000000" w:sz="2" w:space="0"/>
                    <w:right w:val="nil"/>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w:t>
                  </w:r>
                </w:p>
              </w:tc>
            </w:tr>
            <w:tr>
              <w:tblPrEx>
                <w:tblLayout w:type="fixed"/>
                <w:tblCellMar>
                  <w:top w:w="0" w:type="dxa"/>
                  <w:left w:w="0" w:type="dxa"/>
                  <w:bottom w:w="0" w:type="dxa"/>
                  <w:right w:w="0" w:type="dxa"/>
                </w:tblCellMar>
              </w:tblPrEx>
              <w:trPr>
                <w:trHeight w:val="340" w:hRule="atLeast"/>
              </w:trPr>
              <w:tc>
                <w:tcPr>
                  <w:tcW w:w="2535" w:type="dxa"/>
                  <w:tcBorders>
                    <w:top w:val="single" w:color="000000" w:sz="2" w:space="0"/>
                    <w:left w:val="nil"/>
                    <w:bottom w:val="single" w:color="000000" w:sz="2" w:space="0"/>
                    <w:right w:val="single" w:color="000000" w:sz="2"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TP</w:t>
                  </w:r>
                </w:p>
              </w:tc>
              <w:tc>
                <w:tcPr>
                  <w:tcW w:w="2729" w:type="dxa"/>
                  <w:tcBorders>
                    <w:top w:val="single" w:color="000000" w:sz="2" w:space="0"/>
                    <w:left w:val="single" w:color="000000" w:sz="2" w:space="0"/>
                    <w:bottom w:val="single" w:color="000000" w:sz="2" w:space="0"/>
                    <w:right w:val="single" w:color="000000" w:sz="4" w:space="0"/>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8</w:t>
                  </w:r>
                </w:p>
              </w:tc>
              <w:tc>
                <w:tcPr>
                  <w:tcW w:w="3778" w:type="dxa"/>
                  <w:tcBorders>
                    <w:top w:val="single" w:color="000000" w:sz="2" w:space="0"/>
                    <w:left w:val="single" w:color="000000" w:sz="4" w:space="0"/>
                    <w:bottom w:val="single" w:color="000000" w:sz="2" w:space="0"/>
                    <w:right w:val="nil"/>
                  </w:tcBorders>
                  <w:tcMar>
                    <w:top w:w="28" w:type="dxa"/>
                    <w:left w:w="28" w:type="dxa"/>
                    <w:bottom w:w="28" w:type="dxa"/>
                    <w:right w:w="28" w:type="dxa"/>
                  </w:tcMar>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0.5</w:t>
                  </w:r>
                </w:p>
              </w:tc>
            </w:tr>
          </w:tbl>
          <w:p>
            <w:pPr>
              <w:autoSpaceDE w:val="0"/>
              <w:autoSpaceDN w:val="0"/>
              <w:adjustRightInd w:val="0"/>
              <w:snapToGrid w:val="0"/>
              <w:spacing w:line="440" w:lineRule="exact"/>
              <w:ind w:firstLine="512"/>
              <w:rPr>
                <w:rFonts w:ascii="Times New Roman" w:hAnsi="Times New Roman" w:cs="Times New Roman"/>
                <w:bCs/>
                <w:spacing w:val="8"/>
                <w:szCs w:val="24"/>
              </w:rPr>
            </w:pPr>
            <w:r>
              <w:rPr>
                <w:rFonts w:ascii="Times New Roman" w:hAnsi="Times New Roman" w:cs="Times New Roman"/>
                <w:bCs/>
                <w:spacing w:val="8"/>
                <w:szCs w:val="24"/>
              </w:rPr>
              <w:t>（3）接管可行性分析</w:t>
            </w:r>
          </w:p>
          <w:p>
            <w:pPr>
              <w:autoSpaceDE w:val="0"/>
              <w:autoSpaceDN w:val="0"/>
              <w:adjustRightInd w:val="0"/>
              <w:snapToGrid w:val="0"/>
              <w:spacing w:line="440" w:lineRule="exact"/>
              <w:ind w:firstLine="512"/>
              <w:rPr>
                <w:rFonts w:ascii="Times New Roman" w:hAnsi="Times New Roman" w:cs="Times New Roman"/>
                <w:bCs/>
                <w:spacing w:val="8"/>
                <w:szCs w:val="24"/>
              </w:rPr>
            </w:pPr>
            <w:r>
              <w:rPr>
                <w:rFonts w:ascii="Times New Roman" w:hAnsi="Times New Roman" w:cs="Times New Roman"/>
                <w:bCs/>
                <w:spacing w:val="8"/>
                <w:szCs w:val="24"/>
              </w:rPr>
              <w:t>项目废水为生产废水和生活废水，主要含有COD、SS、NH</w:t>
            </w:r>
            <w:r>
              <w:rPr>
                <w:rFonts w:ascii="Times New Roman" w:hAnsi="Times New Roman" w:cs="Times New Roman"/>
                <w:bCs/>
                <w:spacing w:val="8"/>
                <w:szCs w:val="24"/>
                <w:vertAlign w:val="subscript"/>
              </w:rPr>
              <w:t>3</w:t>
            </w:r>
            <w:r>
              <w:rPr>
                <w:rFonts w:ascii="Times New Roman" w:hAnsi="Times New Roman" w:cs="Times New Roman"/>
                <w:bCs/>
                <w:spacing w:val="8"/>
                <w:szCs w:val="24"/>
              </w:rPr>
              <w:t>-N、TP、石油类等常规指标，水质简单、可生化性好，经过预处理后均可达到接管标准。六合区污水处理厂处理工艺对项目的废水处理效果较好，能做到达标排放。项目废水经预处理后接入六合区污水处理厂集中处理，从水质角度考虑是可行的。</w:t>
            </w:r>
          </w:p>
          <w:p>
            <w:pPr>
              <w:autoSpaceDE w:val="0"/>
              <w:autoSpaceDN w:val="0"/>
              <w:adjustRightInd w:val="0"/>
              <w:snapToGrid w:val="0"/>
              <w:spacing w:line="440" w:lineRule="exact"/>
              <w:ind w:firstLine="512"/>
              <w:rPr>
                <w:rFonts w:ascii="Times New Roman" w:hAnsi="Times New Roman" w:cs="Times New Roman"/>
                <w:bCs/>
                <w:spacing w:val="8"/>
                <w:szCs w:val="24"/>
              </w:rPr>
            </w:pPr>
            <w:r>
              <w:rPr>
                <w:rFonts w:ascii="Times New Roman" w:hAnsi="Times New Roman" w:cs="Times New Roman"/>
                <w:bCs/>
                <w:spacing w:val="8"/>
                <w:szCs w:val="24"/>
              </w:rPr>
              <w:t>六合区污水处理厂分三期建设，设计污水处理总规模为120000m</w:t>
            </w:r>
            <w:r>
              <w:rPr>
                <w:rFonts w:ascii="Times New Roman" w:hAnsi="Times New Roman" w:cs="Times New Roman"/>
                <w:bCs/>
                <w:spacing w:val="8"/>
                <w:szCs w:val="24"/>
                <w:vertAlign w:val="superscript"/>
              </w:rPr>
              <w:t>3</w:t>
            </w:r>
            <w:r>
              <w:rPr>
                <w:rFonts w:ascii="Times New Roman" w:hAnsi="Times New Roman" w:cs="Times New Roman"/>
                <w:bCs/>
                <w:spacing w:val="8"/>
                <w:szCs w:val="24"/>
              </w:rPr>
              <w:t>/d，其中一期为40000m</w:t>
            </w:r>
            <w:r>
              <w:rPr>
                <w:rFonts w:ascii="Times New Roman" w:hAnsi="Times New Roman" w:cs="Times New Roman"/>
                <w:bCs/>
                <w:spacing w:val="8"/>
                <w:szCs w:val="24"/>
                <w:vertAlign w:val="superscript"/>
              </w:rPr>
              <w:t>3</w:t>
            </w:r>
            <w:r>
              <w:rPr>
                <w:rFonts w:ascii="Times New Roman" w:hAnsi="Times New Roman" w:cs="Times New Roman"/>
                <w:bCs/>
                <w:spacing w:val="8"/>
                <w:szCs w:val="24"/>
              </w:rPr>
              <w:t>/d。总规模服务范围为：整个雄洲集团，包括“雄洲片”、“龙池片”、 滁北地块、老城区等几个片区，服务面积38.75km</w:t>
            </w:r>
            <w:r>
              <w:rPr>
                <w:rFonts w:ascii="Times New Roman" w:hAnsi="Times New Roman" w:cs="Times New Roman"/>
                <w:bCs/>
                <w:spacing w:val="8"/>
                <w:szCs w:val="24"/>
                <w:vertAlign w:val="superscript"/>
              </w:rPr>
              <w:t>2</w:t>
            </w:r>
            <w:r>
              <w:rPr>
                <w:rFonts w:ascii="Times New Roman" w:hAnsi="Times New Roman" w:cs="Times New Roman"/>
                <w:bCs/>
                <w:spacing w:val="8"/>
                <w:szCs w:val="24"/>
              </w:rPr>
              <w:t>。一期规模主要处理滁河两岸（即滁南滁北片区）及六合开发区产生的污水，采用CAST工艺，已建成运营，项目在六合区污水处理厂一期规模的接管范围内。项目附近市政污水管道已敷设完成，能确保在项目运营期能接管至六合污水处理厂集中处理。</w:t>
            </w:r>
          </w:p>
          <w:p>
            <w:pPr>
              <w:autoSpaceDE w:val="0"/>
              <w:autoSpaceDN w:val="0"/>
              <w:adjustRightInd w:val="0"/>
              <w:snapToGrid w:val="0"/>
              <w:spacing w:line="440" w:lineRule="exact"/>
              <w:ind w:firstLine="512"/>
              <w:rPr>
                <w:rFonts w:ascii="Times New Roman" w:hAnsi="Times New Roman" w:cs="Times New Roman"/>
                <w:bCs/>
                <w:spacing w:val="8"/>
                <w:szCs w:val="24"/>
              </w:rPr>
            </w:pPr>
            <w:r>
              <w:rPr>
                <w:rFonts w:ascii="Times New Roman" w:hAnsi="Times New Roman" w:cs="Times New Roman"/>
                <w:bCs/>
                <w:iCs/>
                <w:spacing w:val="8"/>
                <w:szCs w:val="24"/>
              </w:rPr>
              <w:t>六合区污水处理厂污水处理量为40000m</w:t>
            </w:r>
            <w:r>
              <w:rPr>
                <w:rFonts w:ascii="Times New Roman" w:hAnsi="Times New Roman" w:cs="Times New Roman"/>
                <w:bCs/>
                <w:iCs/>
                <w:spacing w:val="8"/>
                <w:szCs w:val="24"/>
                <w:vertAlign w:val="superscript"/>
              </w:rPr>
              <w:t>3</w:t>
            </w:r>
            <w:r>
              <w:rPr>
                <w:rFonts w:ascii="Times New Roman" w:hAnsi="Times New Roman" w:cs="Times New Roman"/>
                <w:bCs/>
                <w:iCs/>
                <w:spacing w:val="8"/>
                <w:szCs w:val="24"/>
              </w:rPr>
              <w:t>/d，</w:t>
            </w:r>
            <w:r>
              <w:rPr>
                <w:rFonts w:ascii="Times New Roman" w:hAnsi="Times New Roman" w:cs="Times New Roman"/>
                <w:bCs/>
                <w:spacing w:val="8"/>
                <w:szCs w:val="24"/>
              </w:rPr>
              <w:t>项目产生废水量</w:t>
            </w:r>
            <w:r>
              <w:rPr>
                <w:rFonts w:ascii="Times New Roman" w:hAnsi="Times New Roman" w:cs="Times New Roman"/>
                <w:bCs/>
                <w:iCs/>
                <w:spacing w:val="8"/>
                <w:szCs w:val="24"/>
              </w:rPr>
              <w:t>43.3m</w:t>
            </w:r>
            <w:r>
              <w:rPr>
                <w:rFonts w:ascii="Times New Roman" w:hAnsi="Times New Roman" w:cs="Times New Roman"/>
                <w:bCs/>
                <w:iCs/>
                <w:spacing w:val="8"/>
                <w:szCs w:val="24"/>
                <w:vertAlign w:val="superscript"/>
              </w:rPr>
              <w:t>3</w:t>
            </w:r>
            <w:r>
              <w:rPr>
                <w:rFonts w:ascii="Times New Roman" w:hAnsi="Times New Roman" w:cs="Times New Roman"/>
                <w:bCs/>
                <w:iCs/>
                <w:spacing w:val="8"/>
                <w:szCs w:val="24"/>
              </w:rPr>
              <w:t>/d，项目废水占六合区污水处理厂处理量的0.11%，对其正常处理几乎没有冲击影响，六合区污水处理厂有能力接收本项目产生的废水。</w:t>
            </w:r>
          </w:p>
          <w:p>
            <w:pPr>
              <w:autoSpaceDE w:val="0"/>
              <w:autoSpaceDN w:val="0"/>
              <w:adjustRightInd w:val="0"/>
              <w:snapToGrid w:val="0"/>
              <w:spacing w:line="440" w:lineRule="exact"/>
              <w:ind w:firstLine="512"/>
              <w:rPr>
                <w:rFonts w:ascii="Times New Roman" w:hAnsi="Times New Roman" w:cs="Times New Roman"/>
                <w:bCs/>
                <w:spacing w:val="8"/>
                <w:szCs w:val="24"/>
              </w:rPr>
            </w:pPr>
            <w:r>
              <w:rPr>
                <w:rFonts w:ascii="Times New Roman" w:hAnsi="Times New Roman" w:cs="Times New Roman"/>
                <w:bCs/>
                <w:spacing w:val="8"/>
                <w:szCs w:val="24"/>
              </w:rPr>
              <w:t>从接收水量、接管标准、时间和管网布设及六合区污水处理厂运行现状等方面综合考虑，项目废水排入六合区污水处理厂是可行的。项目产生的废水得到有效处理，废水防治措施可行，对当地水环境影响较小。</w:t>
            </w:r>
          </w:p>
          <w:p>
            <w:pPr>
              <w:autoSpaceDE w:val="0"/>
              <w:autoSpaceDN w:val="0"/>
              <w:adjustRightInd w:val="0"/>
              <w:snapToGrid w:val="0"/>
              <w:spacing w:line="440" w:lineRule="exact"/>
              <w:ind w:firstLine="512"/>
              <w:rPr>
                <w:rFonts w:ascii="Times New Roman" w:hAnsi="Times New Roman" w:cs="Times New Roman"/>
                <w:bCs/>
                <w:spacing w:val="8"/>
                <w:szCs w:val="24"/>
              </w:rPr>
            </w:pPr>
            <w:r>
              <w:rPr>
                <w:rFonts w:ascii="Times New Roman" w:hAnsi="Times New Roman" w:cs="Times New Roman"/>
                <w:bCs/>
                <w:spacing w:val="8"/>
                <w:szCs w:val="24"/>
              </w:rPr>
              <w:t>3、声环境影响分析</w:t>
            </w:r>
          </w:p>
          <w:p>
            <w:pPr>
              <w:adjustRightInd w:val="0"/>
              <w:snapToGrid w:val="0"/>
              <w:spacing w:line="440" w:lineRule="exact"/>
              <w:ind w:firstLine="480"/>
              <w:rPr>
                <w:rFonts w:ascii="Times New Roman" w:hAnsi="Times New Roman" w:cs="Times New Roman"/>
                <w:szCs w:val="24"/>
              </w:rPr>
            </w:pPr>
            <w:r>
              <w:rPr>
                <w:rFonts w:ascii="Times New Roman" w:hAnsi="Times New Roman" w:cs="Times New Roman"/>
                <w:szCs w:val="24"/>
              </w:rPr>
              <w:t>项目的主要噪声设备有风机、真空搅拌机、轧膜机、空压机、制氮机、真空泵、冷却塔等产生的各类噪声，源强为 75~100dB(A)。主要采取以下噪声污染防治措施：</w:t>
            </w:r>
          </w:p>
          <w:p>
            <w:pPr>
              <w:adjustRightInd w:val="0"/>
              <w:snapToGrid w:val="0"/>
              <w:spacing w:line="440" w:lineRule="exact"/>
              <w:ind w:firstLine="480"/>
              <w:rPr>
                <w:rFonts w:ascii="Times New Roman" w:hAnsi="Times New Roman" w:cs="Times New Roman"/>
                <w:szCs w:val="24"/>
              </w:rPr>
            </w:pPr>
            <w:r>
              <w:rPr>
                <w:rFonts w:ascii="Times New Roman" w:hAnsi="Times New Roman" w:cs="Times New Roman"/>
                <w:szCs w:val="24"/>
              </w:rPr>
              <w:t>控制设备噪声：选用低噪音设备，加强维护和检修；设置减振、隔振基础、设置减振台、隔振基础，减少噪声产生和传递；对空压机组、引风机产生高噪声的设备，设置隔音门窗，墙面采取吸音板；采用隔声墙壁、隔声窗等措施隔离噪音，将主要动力设备和高噪声生产设备置于室内操作，利用建筑物隔声屏蔽。</w:t>
            </w:r>
          </w:p>
          <w:p>
            <w:pPr>
              <w:adjustRightInd w:val="0"/>
              <w:snapToGrid w:val="0"/>
              <w:spacing w:line="440" w:lineRule="exact"/>
              <w:ind w:firstLine="480"/>
              <w:rPr>
                <w:rFonts w:ascii="Times New Roman" w:hAnsi="Times New Roman" w:cs="Times New Roman"/>
                <w:szCs w:val="24"/>
              </w:rPr>
            </w:pPr>
            <w:r>
              <w:rPr>
                <w:rFonts w:ascii="Times New Roman" w:hAnsi="Times New Roman" w:cs="Times New Roman"/>
                <w:szCs w:val="24"/>
              </w:rPr>
              <w:t>工程管理措施：加强生产管理，物品轻拿轻放。</w:t>
            </w:r>
          </w:p>
          <w:p>
            <w:pPr>
              <w:adjustRightInd w:val="0"/>
              <w:snapToGrid w:val="0"/>
              <w:spacing w:line="440" w:lineRule="exact"/>
              <w:ind w:firstLine="480"/>
              <w:rPr>
                <w:rFonts w:ascii="Times New Roman" w:hAnsi="Times New Roman" w:cs="Times New Roman"/>
                <w:szCs w:val="24"/>
              </w:rPr>
            </w:pPr>
            <w:r>
              <w:rPr>
                <w:rFonts w:ascii="Times New Roman" w:hAnsi="Times New Roman" w:cs="Times New Roman"/>
                <w:szCs w:val="24"/>
              </w:rPr>
              <w:t>合理布局：在厂区总图设计上科学规划，合理布局，尽可能将噪声设备集中布置，并加强厂区绿化，吸声降噪。</w:t>
            </w:r>
          </w:p>
          <w:p>
            <w:pPr>
              <w:adjustRightInd w:val="0"/>
              <w:snapToGrid w:val="0"/>
              <w:spacing w:line="440" w:lineRule="exact"/>
              <w:ind w:firstLine="480"/>
              <w:rPr>
                <w:rFonts w:ascii="Times New Roman" w:hAnsi="Times New Roman" w:cs="Times New Roman"/>
                <w:szCs w:val="24"/>
              </w:rPr>
            </w:pPr>
            <w:r>
              <w:rPr>
                <w:rFonts w:ascii="Times New Roman" w:hAnsi="Times New Roman" w:cs="Times New Roman"/>
                <w:szCs w:val="24"/>
              </w:rPr>
              <w:t>通过采取上述治理措施后，厂界噪声达到《工业企业厂界环境噪声排放标准》（GB12348-2008）2类标准要求，对区域声环境影响较小。</w:t>
            </w:r>
          </w:p>
          <w:p>
            <w:pPr>
              <w:autoSpaceDE w:val="0"/>
              <w:autoSpaceDN w:val="0"/>
              <w:adjustRightInd w:val="0"/>
              <w:snapToGrid w:val="0"/>
              <w:spacing w:line="440" w:lineRule="exact"/>
              <w:ind w:firstLine="512"/>
              <w:rPr>
                <w:rFonts w:ascii="Times New Roman" w:hAnsi="Times New Roman" w:cs="Times New Roman"/>
                <w:bCs/>
                <w:spacing w:val="8"/>
                <w:szCs w:val="24"/>
              </w:rPr>
            </w:pPr>
            <w:r>
              <w:rPr>
                <w:rFonts w:ascii="Times New Roman" w:hAnsi="Times New Roman" w:cs="Times New Roman"/>
                <w:bCs/>
                <w:spacing w:val="8"/>
                <w:szCs w:val="24"/>
              </w:rPr>
              <w:t>4、固体废弃物环境影响分析</w:t>
            </w:r>
          </w:p>
          <w:p>
            <w:pPr>
              <w:spacing w:line="440" w:lineRule="exact"/>
              <w:ind w:firstLine="480"/>
              <w:rPr>
                <w:rFonts w:ascii="Times New Roman" w:hAnsi="Times New Roman" w:cs="Times New Roman"/>
                <w:snapToGrid w:val="0"/>
                <w:kern w:val="0"/>
              </w:rPr>
            </w:pPr>
            <w:r>
              <w:rPr>
                <w:rFonts w:ascii="Times New Roman" w:hAnsi="Times New Roman" w:cs="Times New Roman"/>
              </w:rPr>
              <w:t>建设项目产生生活垃圾160t/a，由环卫部门统一清运。</w:t>
            </w:r>
            <w:r>
              <w:rPr>
                <w:rFonts w:ascii="Times New Roman" w:hAnsi="Times New Roman" w:cs="Times New Roman"/>
                <w:snapToGrid w:val="0"/>
                <w:kern w:val="0"/>
              </w:rPr>
              <w:t>工业固体废物主要有危险废物（NMP废液、废包装桶袋）、一般工业固废（废隔膜、废边角料、不合格辅料、不合格电芯、</w:t>
            </w:r>
            <w:r>
              <w:rPr>
                <w:rFonts w:ascii="Times New Roman" w:hAnsi="Times New Roman" w:cs="Times New Roman"/>
                <w:sz w:val="21"/>
                <w:szCs w:val="21"/>
              </w:rPr>
              <w:t>废</w:t>
            </w:r>
            <w:r>
              <w:rPr>
                <w:rFonts w:ascii="Times New Roman" w:hAnsi="Times New Roman" w:cs="Times New Roman"/>
                <w:snapToGrid w:val="0"/>
                <w:kern w:val="0"/>
              </w:rPr>
              <w:t>电池、布袋除尘器收尘、工业污水处理污泥及活性炭、化粪池污泥）。将一般工业固废进行回收利用、出售或环卫清运等，将危险废物委托给有相应资质单位处置。</w:t>
            </w:r>
          </w:p>
          <w:p>
            <w:pPr>
              <w:spacing w:line="440" w:lineRule="exact"/>
              <w:ind w:firstLine="480"/>
              <w:rPr>
                <w:rFonts w:ascii="Times New Roman" w:hAnsi="Times New Roman" w:cs="Times New Roman"/>
                <w:szCs w:val="20"/>
              </w:rPr>
            </w:pPr>
            <w:r>
              <w:rPr>
                <w:rFonts w:ascii="Times New Roman" w:hAnsi="Times New Roman" w:cs="Times New Roman"/>
                <w:snapToGrid w:val="0"/>
                <w:kern w:val="0"/>
                <w:szCs w:val="24"/>
              </w:rPr>
              <w:t>项目建设单位强化废物产</w:t>
            </w:r>
            <w:r>
              <w:rPr>
                <w:rFonts w:ascii="Times New Roman" w:hAnsi="Times New Roman" w:cs="Times New Roman"/>
                <w:szCs w:val="20"/>
              </w:rPr>
              <w:t>生、收集、贮存等各环节的管理，杜绝固废在厂区内的散失、渗漏。做好固体废物在厂内的收集和储存相关防护工作，收集后进行有效处置。建立完善的规章制度，以降低危险废物散落对周围环境的影响。通过相应处置利用措施，项目各类固废均得到了妥善处置和利用，不会产生二次污染，不会对周围环境产生明显影响。</w:t>
            </w:r>
          </w:p>
          <w:p>
            <w:pPr>
              <w:spacing w:line="440" w:lineRule="exact"/>
              <w:ind w:firstLine="480"/>
              <w:rPr>
                <w:rFonts w:ascii="Times New Roman" w:hAnsi="Times New Roman" w:cs="Times New Roman"/>
                <w:szCs w:val="20"/>
              </w:rPr>
            </w:pPr>
            <w:r>
              <w:rPr>
                <w:rFonts w:ascii="Times New Roman" w:hAnsi="Times New Roman" w:cs="Times New Roman"/>
                <w:szCs w:val="20"/>
              </w:rPr>
              <w:t>5、生态环境影响分析</w:t>
            </w:r>
          </w:p>
          <w:p>
            <w:pPr>
              <w:spacing w:line="440" w:lineRule="exact"/>
              <w:ind w:firstLine="480"/>
              <w:rPr>
                <w:rFonts w:ascii="Times New Roman" w:hAnsi="Times New Roman" w:cs="Times New Roman"/>
              </w:rPr>
            </w:pPr>
            <w:r>
              <w:rPr>
                <w:rFonts w:ascii="Times New Roman" w:hAnsi="Times New Roman" w:cs="Times New Roman"/>
                <w:szCs w:val="20"/>
              </w:rPr>
              <w:t>项目施工期对生态造成一定影响，包括水土流失、植被破坏等，施工期结束后进行土壤回填和</w:t>
            </w:r>
            <w:r>
              <w:rPr>
                <w:rFonts w:ascii="Times New Roman" w:hAnsi="Times New Roman" w:cs="Times New Roman"/>
              </w:rPr>
              <w:t>种植绿植，对生态环境影响也随施工期结束而消失。运营期废气、废水、噪声均能达标排放，固废得到妥善处理，对区域生态环境影响较小。</w:t>
            </w:r>
          </w:p>
          <w:p>
            <w:pPr>
              <w:spacing w:line="440" w:lineRule="exact"/>
              <w:ind w:firstLine="480"/>
              <w:rPr>
                <w:rFonts w:ascii="Times New Roman" w:hAnsi="Times New Roman" w:cs="Times New Roman"/>
              </w:rPr>
            </w:pPr>
            <w:r>
              <w:rPr>
                <w:rFonts w:ascii="Times New Roman" w:hAnsi="Times New Roman" w:cs="Times New Roman"/>
              </w:rPr>
              <w:t>6、环境风险分析</w:t>
            </w:r>
          </w:p>
          <w:p>
            <w:pPr>
              <w:spacing w:line="440" w:lineRule="exact"/>
              <w:ind w:firstLine="480"/>
              <w:rPr>
                <w:rFonts w:ascii="Times New Roman" w:hAnsi="Times New Roman" w:cs="Times New Roman"/>
                <w:b/>
              </w:rPr>
            </w:pPr>
            <w:r>
              <w:rPr>
                <w:rFonts w:ascii="Times New Roman" w:hAnsi="Times New Roman" w:cs="Times New Roman"/>
              </w:rPr>
              <w:t>根据风险分析结果，本项目风险类型为泄漏、火灾、尾气事故排放。发生尾气事故排放情况时在最不利气象条件下，其影响的区域主要是在厂区范围内，对外环境影响较小。详见“环境风险评价专项”。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 w:hRule="atLeast"/>
        </w:trPr>
        <w:tc>
          <w:tcPr>
            <w:tcW w:w="9098" w:type="dxa"/>
            <w:tcMar>
              <w:top w:w="28" w:type="dxa"/>
              <w:left w:w="28" w:type="dxa"/>
              <w:bottom w:w="28" w:type="dxa"/>
              <w:right w:w="28" w:type="dxa"/>
            </w:tcMar>
          </w:tcPr>
          <w:p>
            <w:pPr>
              <w:autoSpaceDE w:val="0"/>
              <w:autoSpaceDN w:val="0"/>
              <w:adjustRightInd w:val="0"/>
              <w:snapToGrid w:val="0"/>
              <w:spacing w:line="440" w:lineRule="exact"/>
              <w:ind w:firstLine="480"/>
              <w:rPr>
                <w:rFonts w:ascii="Times New Roman" w:hAnsi="Times New Roman" w:cs="Times New Roman"/>
                <w:szCs w:val="24"/>
              </w:rPr>
            </w:pPr>
            <w:r>
              <w:rPr>
                <w:rFonts w:ascii="Times New Roman" w:hAnsi="Times New Roman" w:cs="Times New Roman"/>
                <w:szCs w:val="24"/>
              </w:rPr>
              <w:t>7、设项目环境环保设施“三同时”验收一览表</w:t>
            </w:r>
          </w:p>
          <w:p>
            <w:pPr>
              <w:autoSpaceDE w:val="0"/>
              <w:autoSpaceDN w:val="0"/>
              <w:adjustRightInd w:val="0"/>
              <w:snapToGrid w:val="0"/>
              <w:spacing w:line="440" w:lineRule="exact"/>
              <w:ind w:firstLine="480"/>
              <w:rPr>
                <w:rFonts w:ascii="Times New Roman" w:hAnsi="Times New Roman" w:cs="Times New Roman"/>
                <w:szCs w:val="24"/>
              </w:rPr>
            </w:pPr>
            <w:r>
              <w:rPr>
                <w:rFonts w:ascii="Times New Roman" w:hAnsi="Times New Roman" w:cs="Times New Roman"/>
                <w:szCs w:val="24"/>
              </w:rPr>
              <w:t>环境环保设施“三同时”验收一览表详见表26。</w:t>
            </w:r>
          </w:p>
          <w:p>
            <w:pPr>
              <w:adjustRightInd w:val="0"/>
              <w:snapToGrid w:val="0"/>
              <w:spacing w:line="560" w:lineRule="exact"/>
              <w:ind w:firstLine="0" w:firstLineChars="0"/>
              <w:jc w:val="center"/>
              <w:rPr>
                <w:rFonts w:ascii="Times New Roman" w:hAnsi="Times New Roman" w:eastAsia="黑体" w:cs="Times New Roman"/>
              </w:rPr>
            </w:pPr>
            <w:r>
              <w:rPr>
                <w:rFonts w:ascii="Times New Roman" w:hAnsi="Times New Roman" w:eastAsia="黑体" w:cs="Times New Roman"/>
              </w:rPr>
              <w:t>表26  建设项目环境环保设施“三同时”验收一览表</w:t>
            </w:r>
          </w:p>
          <w:tbl>
            <w:tblPr>
              <w:tblStyle w:val="11"/>
              <w:tblW w:w="9042"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
            <w:tblGrid>
              <w:gridCol w:w="514"/>
              <w:gridCol w:w="1159"/>
              <w:gridCol w:w="942"/>
              <w:gridCol w:w="2886"/>
              <w:gridCol w:w="850"/>
              <w:gridCol w:w="2127"/>
              <w:gridCol w:w="56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514" w:type="dxa"/>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类别</w:t>
                  </w:r>
                </w:p>
              </w:tc>
              <w:tc>
                <w:tcPr>
                  <w:tcW w:w="1159" w:type="dxa"/>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污染源</w:t>
                  </w:r>
                </w:p>
              </w:tc>
              <w:tc>
                <w:tcPr>
                  <w:tcW w:w="942" w:type="dxa"/>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污染物</w:t>
                  </w:r>
                </w:p>
              </w:tc>
              <w:tc>
                <w:tcPr>
                  <w:tcW w:w="2886" w:type="dxa"/>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治理措施</w:t>
                  </w:r>
                </w:p>
              </w:tc>
              <w:tc>
                <w:tcPr>
                  <w:tcW w:w="850" w:type="dxa"/>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投资</w:t>
                  </w:r>
                </w:p>
                <w:p>
                  <w:pPr>
                    <w:autoSpaceDE w:val="0"/>
                    <w:autoSpaceDN w:val="0"/>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（万元）</w:t>
                  </w:r>
                </w:p>
              </w:tc>
              <w:tc>
                <w:tcPr>
                  <w:tcW w:w="2127" w:type="dxa"/>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处理效果或执行标准</w:t>
                  </w:r>
                </w:p>
              </w:tc>
              <w:tc>
                <w:tcPr>
                  <w:tcW w:w="564" w:type="dxa"/>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完成时间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514" w:type="dxa"/>
                  <w:vMerge w:val="restart"/>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废气</w:t>
                  </w:r>
                </w:p>
              </w:tc>
              <w:tc>
                <w:tcPr>
                  <w:tcW w:w="1159" w:type="dxa"/>
                  <w:vAlign w:val="center"/>
                </w:tcPr>
                <w:p>
                  <w:pPr>
                    <w:adjustRightInd w:val="0"/>
                    <w:snapToGrid w:val="0"/>
                    <w:spacing w:line="240" w:lineRule="auto"/>
                    <w:ind w:firstLine="0" w:firstLineChars="0"/>
                    <w:jc w:val="center"/>
                    <w:rPr>
                      <w:rFonts w:ascii="Times New Roman" w:hAnsi="Times New Roman" w:cs="Times New Roman"/>
                      <w:snapToGrid w:val="0"/>
                      <w:kern w:val="18"/>
                      <w:sz w:val="21"/>
                      <w:szCs w:val="21"/>
                    </w:rPr>
                  </w:pPr>
                  <w:r>
                    <w:rPr>
                      <w:rFonts w:ascii="Times New Roman" w:hAnsi="Times New Roman" w:cs="Times New Roman"/>
                      <w:snapToGrid w:val="0"/>
                      <w:kern w:val="18"/>
                      <w:sz w:val="21"/>
                      <w:szCs w:val="21"/>
                    </w:rPr>
                    <w:t>投料工序</w:t>
                  </w:r>
                </w:p>
              </w:tc>
              <w:tc>
                <w:tcPr>
                  <w:tcW w:w="942" w:type="dxa"/>
                  <w:vAlign w:val="center"/>
                </w:tcPr>
                <w:p>
                  <w:pPr>
                    <w:adjustRightInd w:val="0"/>
                    <w:snapToGrid w:val="0"/>
                    <w:spacing w:line="240" w:lineRule="auto"/>
                    <w:ind w:firstLine="0" w:firstLineChars="0"/>
                    <w:jc w:val="center"/>
                    <w:rPr>
                      <w:rFonts w:ascii="Times New Roman" w:hAnsi="Times New Roman" w:cs="Times New Roman"/>
                      <w:snapToGrid w:val="0"/>
                      <w:kern w:val="18"/>
                      <w:sz w:val="21"/>
                      <w:szCs w:val="21"/>
                    </w:rPr>
                  </w:pPr>
                  <w:r>
                    <w:rPr>
                      <w:rFonts w:ascii="Times New Roman" w:hAnsi="Times New Roman" w:cs="Times New Roman"/>
                      <w:snapToGrid w:val="0"/>
                      <w:kern w:val="18"/>
                      <w:sz w:val="21"/>
                      <w:szCs w:val="21"/>
                    </w:rPr>
                    <w:t>颗粒物</w:t>
                  </w:r>
                </w:p>
              </w:tc>
              <w:tc>
                <w:tcPr>
                  <w:tcW w:w="2886" w:type="dxa"/>
                  <w:vAlign w:val="center"/>
                </w:tcPr>
                <w:p>
                  <w:pPr>
                    <w:adjustRightInd w:val="0"/>
                    <w:snapToGrid w:val="0"/>
                    <w:spacing w:line="240" w:lineRule="auto"/>
                    <w:ind w:firstLine="0" w:firstLineChars="0"/>
                    <w:jc w:val="center"/>
                    <w:rPr>
                      <w:rFonts w:ascii="Times New Roman" w:hAnsi="Times New Roman" w:cs="Times New Roman"/>
                      <w:snapToGrid w:val="0"/>
                      <w:kern w:val="18"/>
                      <w:sz w:val="21"/>
                      <w:szCs w:val="21"/>
                    </w:rPr>
                  </w:pPr>
                  <w:r>
                    <w:rPr>
                      <w:rFonts w:ascii="Times New Roman" w:hAnsi="Times New Roman" w:cs="Times New Roman"/>
                      <w:snapToGrid w:val="0"/>
                      <w:kern w:val="18"/>
                      <w:sz w:val="21"/>
                      <w:szCs w:val="21"/>
                    </w:rPr>
                    <w:t>布袋除尘系统1套</w:t>
                  </w:r>
                </w:p>
              </w:tc>
              <w:tc>
                <w:tcPr>
                  <w:tcW w:w="850" w:type="dxa"/>
                  <w:vAlign w:val="center"/>
                </w:tcPr>
                <w:p>
                  <w:pPr>
                    <w:autoSpaceDE w:val="0"/>
                    <w:autoSpaceDN w:val="0"/>
                    <w:adjustRightInd w:val="0"/>
                    <w:snapToGri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30</w:t>
                  </w:r>
                </w:p>
              </w:tc>
              <w:tc>
                <w:tcPr>
                  <w:tcW w:w="2127" w:type="dxa"/>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粉尘去除率99%</w:t>
                  </w:r>
                </w:p>
              </w:tc>
              <w:tc>
                <w:tcPr>
                  <w:tcW w:w="564" w:type="dxa"/>
                  <w:vMerge w:val="restart"/>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与“主体工程”同时设计、同时施工、同时运营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514" w:type="dxa"/>
                  <w:vMerge w:val="continue"/>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p>
              </w:tc>
              <w:tc>
                <w:tcPr>
                  <w:tcW w:w="1159" w:type="dxa"/>
                  <w:vAlign w:val="center"/>
                </w:tcPr>
                <w:p>
                  <w:pPr>
                    <w:adjustRightInd w:val="0"/>
                    <w:snapToGrid w:val="0"/>
                    <w:spacing w:line="240" w:lineRule="auto"/>
                    <w:ind w:firstLine="0" w:firstLineChars="0"/>
                    <w:jc w:val="center"/>
                    <w:rPr>
                      <w:rFonts w:ascii="Times New Roman" w:hAnsi="Times New Roman" w:cs="Times New Roman"/>
                      <w:snapToGrid w:val="0"/>
                      <w:kern w:val="18"/>
                      <w:sz w:val="21"/>
                      <w:szCs w:val="21"/>
                    </w:rPr>
                  </w:pPr>
                  <w:r>
                    <w:rPr>
                      <w:rFonts w:ascii="Times New Roman" w:hAnsi="Times New Roman" w:cs="Times New Roman"/>
                      <w:snapToGrid w:val="0"/>
                      <w:kern w:val="18"/>
                      <w:sz w:val="21"/>
                      <w:szCs w:val="21"/>
                    </w:rPr>
                    <w:t>NMP废气</w:t>
                  </w:r>
                </w:p>
              </w:tc>
              <w:tc>
                <w:tcPr>
                  <w:tcW w:w="942" w:type="dxa"/>
                  <w:vAlign w:val="center"/>
                </w:tcPr>
                <w:p>
                  <w:pPr>
                    <w:adjustRightInd w:val="0"/>
                    <w:snapToGrid w:val="0"/>
                    <w:spacing w:line="240" w:lineRule="auto"/>
                    <w:ind w:firstLine="0" w:firstLineChars="0"/>
                    <w:jc w:val="center"/>
                    <w:rPr>
                      <w:rFonts w:ascii="Times New Roman" w:hAnsi="Times New Roman" w:cs="Times New Roman"/>
                      <w:snapToGrid w:val="0"/>
                      <w:kern w:val="18"/>
                      <w:sz w:val="21"/>
                      <w:szCs w:val="21"/>
                    </w:rPr>
                  </w:pPr>
                  <w:r>
                    <w:rPr>
                      <w:rFonts w:ascii="Times New Roman" w:hAnsi="Times New Roman" w:cs="Times New Roman"/>
                      <w:snapToGrid w:val="0"/>
                      <w:kern w:val="18"/>
                      <w:sz w:val="21"/>
                      <w:szCs w:val="21"/>
                    </w:rPr>
                    <w:t>非甲烷</w:t>
                  </w:r>
                </w:p>
                <w:p>
                  <w:pPr>
                    <w:adjustRightInd w:val="0"/>
                    <w:snapToGrid w:val="0"/>
                    <w:spacing w:line="240" w:lineRule="auto"/>
                    <w:ind w:firstLine="0" w:firstLineChars="0"/>
                    <w:jc w:val="center"/>
                    <w:rPr>
                      <w:rFonts w:ascii="Times New Roman" w:hAnsi="Times New Roman" w:cs="Times New Roman"/>
                      <w:snapToGrid w:val="0"/>
                      <w:kern w:val="18"/>
                      <w:sz w:val="21"/>
                      <w:szCs w:val="21"/>
                    </w:rPr>
                  </w:pPr>
                  <w:r>
                    <w:rPr>
                      <w:rFonts w:ascii="Times New Roman" w:hAnsi="Times New Roman" w:cs="Times New Roman"/>
                      <w:snapToGrid w:val="0"/>
                      <w:kern w:val="18"/>
                      <w:sz w:val="21"/>
                      <w:szCs w:val="21"/>
                    </w:rPr>
                    <w:t>总烃</w:t>
                  </w:r>
                </w:p>
              </w:tc>
              <w:tc>
                <w:tcPr>
                  <w:tcW w:w="2886" w:type="dxa"/>
                  <w:vAlign w:val="center"/>
                </w:tcPr>
                <w:p>
                  <w:pPr>
                    <w:adjustRightInd w:val="0"/>
                    <w:snapToGrid w:val="0"/>
                    <w:spacing w:line="240" w:lineRule="auto"/>
                    <w:ind w:firstLine="0" w:firstLineChars="0"/>
                    <w:jc w:val="center"/>
                    <w:rPr>
                      <w:rFonts w:ascii="Times New Roman" w:hAnsi="Times New Roman" w:cs="Times New Roman"/>
                      <w:snapToGrid w:val="0"/>
                      <w:kern w:val="18"/>
                      <w:sz w:val="21"/>
                      <w:szCs w:val="21"/>
                    </w:rPr>
                  </w:pPr>
                  <w:r>
                    <w:rPr>
                      <w:rFonts w:ascii="Times New Roman" w:hAnsi="Times New Roman" w:cs="Times New Roman"/>
                      <w:snapToGrid w:val="0"/>
                      <w:kern w:val="18"/>
                      <w:sz w:val="21"/>
                      <w:szCs w:val="21"/>
                    </w:rPr>
                    <w:t>NMP废气回收处理装置8套。</w:t>
                  </w:r>
                </w:p>
              </w:tc>
              <w:tc>
                <w:tcPr>
                  <w:tcW w:w="850" w:type="dxa"/>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1480</w:t>
                  </w:r>
                </w:p>
              </w:tc>
              <w:tc>
                <w:tcPr>
                  <w:tcW w:w="2127" w:type="dxa"/>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NMP回收率达到设计要求</w:t>
                  </w:r>
                </w:p>
              </w:tc>
              <w:tc>
                <w:tcPr>
                  <w:tcW w:w="564" w:type="dxa"/>
                  <w:vMerge w:val="continue"/>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514" w:type="dxa"/>
                  <w:vMerge w:val="restart"/>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废水</w:t>
                  </w:r>
                </w:p>
              </w:tc>
              <w:tc>
                <w:tcPr>
                  <w:tcW w:w="1159" w:type="dxa"/>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生产废水</w:t>
                  </w:r>
                </w:p>
              </w:tc>
              <w:tc>
                <w:tcPr>
                  <w:tcW w:w="942" w:type="dxa"/>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COD、SS、石油类</w:t>
                  </w:r>
                </w:p>
              </w:tc>
              <w:tc>
                <w:tcPr>
                  <w:tcW w:w="2886" w:type="dxa"/>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生产废水经企业建设的污水处理系统预处理后与生活废水一同排入六合区污水处理厂</w:t>
                  </w:r>
                </w:p>
              </w:tc>
              <w:tc>
                <w:tcPr>
                  <w:tcW w:w="850" w:type="dxa"/>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250</w:t>
                  </w:r>
                </w:p>
              </w:tc>
              <w:tc>
                <w:tcPr>
                  <w:tcW w:w="2127" w:type="dxa"/>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达标排放</w:t>
                  </w:r>
                </w:p>
              </w:tc>
              <w:tc>
                <w:tcPr>
                  <w:tcW w:w="564" w:type="dxa"/>
                  <w:vMerge w:val="continue"/>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514" w:type="dxa"/>
                  <w:vMerge w:val="continue"/>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p>
              </w:tc>
              <w:tc>
                <w:tcPr>
                  <w:tcW w:w="1159" w:type="dxa"/>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生活废水</w:t>
                  </w:r>
                </w:p>
              </w:tc>
              <w:tc>
                <w:tcPr>
                  <w:tcW w:w="942" w:type="dxa"/>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COD、SS、氨氮、TP</w:t>
                  </w:r>
                </w:p>
              </w:tc>
              <w:tc>
                <w:tcPr>
                  <w:tcW w:w="2886" w:type="dxa"/>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经化粪池预处理后与生产废水一同排入六合区污水处理厂</w:t>
                  </w:r>
                </w:p>
              </w:tc>
              <w:tc>
                <w:tcPr>
                  <w:tcW w:w="850" w:type="dxa"/>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0.5</w:t>
                  </w:r>
                </w:p>
              </w:tc>
              <w:tc>
                <w:tcPr>
                  <w:tcW w:w="2127" w:type="dxa"/>
                  <w:vAlign w:val="center"/>
                </w:tcPr>
                <w:p>
                  <w:pPr>
                    <w:autoSpaceDE w:val="0"/>
                    <w:autoSpaceDN w:val="0"/>
                    <w:adjustRightInd w:val="0"/>
                    <w:snapToGri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达标排放</w:t>
                  </w:r>
                </w:p>
              </w:tc>
              <w:tc>
                <w:tcPr>
                  <w:tcW w:w="564" w:type="dxa"/>
                  <w:vMerge w:val="continue"/>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514" w:type="dxa"/>
                  <w:vMerge w:val="restart"/>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固体废物</w:t>
                  </w:r>
                </w:p>
              </w:tc>
              <w:tc>
                <w:tcPr>
                  <w:tcW w:w="2101" w:type="dxa"/>
                  <w:gridSpan w:val="2"/>
                  <w:vAlign w:val="center"/>
                </w:tcPr>
                <w:p>
                  <w:pPr>
                    <w:adjustRightInd w:val="0"/>
                    <w:snapToGrid w:val="0"/>
                    <w:spacing w:line="240" w:lineRule="auto"/>
                    <w:ind w:firstLine="0" w:firstLineChars="0"/>
                    <w:jc w:val="center"/>
                    <w:rPr>
                      <w:rFonts w:ascii="Times New Roman" w:hAnsi="Times New Roman" w:cs="Times New Roman"/>
                      <w:snapToGrid w:val="0"/>
                      <w:kern w:val="18"/>
                      <w:sz w:val="21"/>
                      <w:szCs w:val="21"/>
                    </w:rPr>
                  </w:pPr>
                  <w:r>
                    <w:rPr>
                      <w:rFonts w:ascii="Times New Roman" w:hAnsi="Times New Roman" w:cs="Times New Roman"/>
                      <w:snapToGrid w:val="0"/>
                      <w:kern w:val="18"/>
                      <w:sz w:val="21"/>
                      <w:szCs w:val="21"/>
                    </w:rPr>
                    <w:t>一般固废</w:t>
                  </w:r>
                </w:p>
              </w:tc>
              <w:tc>
                <w:tcPr>
                  <w:tcW w:w="2886" w:type="dxa"/>
                  <w:vAlign w:val="center"/>
                </w:tcPr>
                <w:p>
                  <w:pPr>
                    <w:adjustRightInd w:val="0"/>
                    <w:snapToGrid w:val="0"/>
                    <w:spacing w:line="240" w:lineRule="auto"/>
                    <w:ind w:firstLine="0" w:firstLineChars="0"/>
                    <w:jc w:val="center"/>
                    <w:rPr>
                      <w:rFonts w:ascii="Times New Roman" w:hAnsi="Times New Roman" w:cs="Times New Roman"/>
                      <w:snapToGrid w:val="0"/>
                      <w:kern w:val="18"/>
                      <w:sz w:val="21"/>
                      <w:szCs w:val="21"/>
                    </w:rPr>
                  </w:pPr>
                  <w:r>
                    <w:rPr>
                      <w:rFonts w:ascii="Times New Roman" w:hAnsi="Times New Roman" w:cs="Times New Roman"/>
                      <w:snapToGrid w:val="0"/>
                      <w:kern w:val="18"/>
                      <w:sz w:val="21"/>
                      <w:szCs w:val="21"/>
                    </w:rPr>
                    <w:t>一般固废堆场一座</w:t>
                  </w:r>
                </w:p>
              </w:tc>
              <w:tc>
                <w:tcPr>
                  <w:tcW w:w="850" w:type="dxa"/>
                  <w:vMerge w:val="restart"/>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20</w:t>
                  </w:r>
                </w:p>
              </w:tc>
              <w:tc>
                <w:tcPr>
                  <w:tcW w:w="2127" w:type="dxa"/>
                  <w:vMerge w:val="restart"/>
                  <w:vAlign w:val="center"/>
                </w:tcPr>
                <w:p>
                  <w:pPr>
                    <w:autoSpaceDE w:val="0"/>
                    <w:autoSpaceDN w:val="0"/>
                    <w:adjustRightInd w:val="0"/>
                    <w:snapToGri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厂内暂存，一般工业固废外售或由当地环卫部门处置，危险废物委托有相应资质的单位处置</w:t>
                  </w:r>
                </w:p>
              </w:tc>
              <w:tc>
                <w:tcPr>
                  <w:tcW w:w="564" w:type="dxa"/>
                  <w:vMerge w:val="continue"/>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514" w:type="dxa"/>
                  <w:vMerge w:val="continue"/>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p>
              </w:tc>
              <w:tc>
                <w:tcPr>
                  <w:tcW w:w="2101" w:type="dxa"/>
                  <w:gridSpan w:val="2"/>
                  <w:vAlign w:val="center"/>
                </w:tcPr>
                <w:p>
                  <w:pPr>
                    <w:adjustRightInd w:val="0"/>
                    <w:snapToGrid w:val="0"/>
                    <w:spacing w:line="240" w:lineRule="auto"/>
                    <w:ind w:firstLine="0" w:firstLineChars="0"/>
                    <w:jc w:val="center"/>
                    <w:rPr>
                      <w:rFonts w:ascii="Times New Roman" w:hAnsi="Times New Roman" w:cs="Times New Roman"/>
                      <w:snapToGrid w:val="0"/>
                      <w:kern w:val="18"/>
                      <w:sz w:val="21"/>
                      <w:szCs w:val="21"/>
                    </w:rPr>
                  </w:pPr>
                  <w:r>
                    <w:rPr>
                      <w:rFonts w:ascii="Times New Roman" w:hAnsi="Times New Roman" w:cs="Times New Roman"/>
                      <w:snapToGrid w:val="0"/>
                      <w:kern w:val="18"/>
                      <w:sz w:val="21"/>
                      <w:szCs w:val="21"/>
                    </w:rPr>
                    <w:t>危险固废</w:t>
                  </w:r>
                </w:p>
              </w:tc>
              <w:tc>
                <w:tcPr>
                  <w:tcW w:w="2886" w:type="dxa"/>
                  <w:vAlign w:val="center"/>
                </w:tcPr>
                <w:p>
                  <w:pPr>
                    <w:adjustRightInd w:val="0"/>
                    <w:snapToGrid w:val="0"/>
                    <w:spacing w:line="240" w:lineRule="auto"/>
                    <w:ind w:firstLine="0" w:firstLineChars="0"/>
                    <w:jc w:val="center"/>
                    <w:rPr>
                      <w:rFonts w:ascii="Times New Roman" w:hAnsi="Times New Roman" w:cs="Times New Roman"/>
                      <w:snapToGrid w:val="0"/>
                      <w:kern w:val="18"/>
                      <w:sz w:val="21"/>
                      <w:szCs w:val="21"/>
                    </w:rPr>
                  </w:pPr>
                  <w:r>
                    <w:rPr>
                      <w:rFonts w:ascii="Times New Roman" w:hAnsi="Times New Roman" w:cs="Times New Roman"/>
                      <w:snapToGrid w:val="0"/>
                      <w:kern w:val="18"/>
                      <w:sz w:val="21"/>
                      <w:szCs w:val="21"/>
                    </w:rPr>
                    <w:t>危废堆场一座</w:t>
                  </w:r>
                </w:p>
              </w:tc>
              <w:tc>
                <w:tcPr>
                  <w:tcW w:w="850" w:type="dxa"/>
                  <w:vMerge w:val="continue"/>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p>
              </w:tc>
              <w:tc>
                <w:tcPr>
                  <w:tcW w:w="2127" w:type="dxa"/>
                  <w:vMerge w:val="continue"/>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p>
              </w:tc>
              <w:tc>
                <w:tcPr>
                  <w:tcW w:w="564" w:type="dxa"/>
                  <w:vMerge w:val="continue"/>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514" w:type="dxa"/>
                  <w:vAlign w:val="center"/>
                </w:tcPr>
                <w:p>
                  <w:pPr>
                    <w:adjustRightInd w:val="0"/>
                    <w:snapToGrid w:val="0"/>
                    <w:spacing w:line="240" w:lineRule="auto"/>
                    <w:ind w:firstLine="0" w:firstLineChars="0"/>
                    <w:jc w:val="center"/>
                    <w:rPr>
                      <w:rFonts w:ascii="Times New Roman" w:hAnsi="Times New Roman" w:cs="Times New Roman"/>
                      <w:snapToGrid w:val="0"/>
                      <w:kern w:val="18"/>
                      <w:sz w:val="21"/>
                      <w:szCs w:val="21"/>
                    </w:rPr>
                  </w:pPr>
                  <w:r>
                    <w:rPr>
                      <w:rFonts w:ascii="Times New Roman" w:hAnsi="Times New Roman" w:cs="Times New Roman"/>
                      <w:snapToGrid w:val="0"/>
                      <w:kern w:val="18"/>
                      <w:sz w:val="21"/>
                      <w:szCs w:val="21"/>
                    </w:rPr>
                    <w:t>防渗</w:t>
                  </w:r>
                </w:p>
              </w:tc>
              <w:tc>
                <w:tcPr>
                  <w:tcW w:w="2101" w:type="dxa"/>
                  <w:gridSpan w:val="2"/>
                  <w:vAlign w:val="center"/>
                </w:tcPr>
                <w:p>
                  <w:pPr>
                    <w:adjustRightInd w:val="0"/>
                    <w:snapToGrid w:val="0"/>
                    <w:spacing w:line="240" w:lineRule="auto"/>
                    <w:ind w:firstLine="0" w:firstLineChars="0"/>
                    <w:jc w:val="center"/>
                    <w:rPr>
                      <w:rFonts w:ascii="Times New Roman" w:hAnsi="Times New Roman" w:cs="Times New Roman"/>
                      <w:snapToGrid w:val="0"/>
                      <w:kern w:val="18"/>
                      <w:sz w:val="21"/>
                      <w:szCs w:val="21"/>
                    </w:rPr>
                  </w:pPr>
                  <w:r>
                    <w:rPr>
                      <w:rFonts w:ascii="Times New Roman" w:hAnsi="Times New Roman" w:cs="Times New Roman"/>
                      <w:snapToGrid w:val="0"/>
                      <w:kern w:val="18"/>
                      <w:sz w:val="21"/>
                      <w:szCs w:val="21"/>
                    </w:rPr>
                    <w:t>生产车间、原料库、成品仓库、成品包装车间、电解液库、NMP储存区、危废堆场</w:t>
                  </w:r>
                </w:p>
              </w:tc>
              <w:tc>
                <w:tcPr>
                  <w:tcW w:w="2886" w:type="dxa"/>
                  <w:vAlign w:val="center"/>
                </w:tcPr>
                <w:p>
                  <w:pPr>
                    <w:adjustRightInd w:val="0"/>
                    <w:snapToGrid w:val="0"/>
                    <w:spacing w:line="240" w:lineRule="auto"/>
                    <w:ind w:firstLine="0" w:firstLineChars="0"/>
                    <w:jc w:val="center"/>
                    <w:rPr>
                      <w:rFonts w:ascii="Times New Roman" w:hAnsi="Times New Roman" w:cs="Times New Roman"/>
                      <w:snapToGrid w:val="0"/>
                      <w:kern w:val="18"/>
                      <w:sz w:val="21"/>
                      <w:szCs w:val="21"/>
                    </w:rPr>
                  </w:pPr>
                  <w:r>
                    <w:rPr>
                      <w:rFonts w:ascii="Times New Roman" w:hAnsi="Times New Roman" w:cs="Times New Roman"/>
                      <w:snapToGrid w:val="0"/>
                      <w:kern w:val="18"/>
                      <w:sz w:val="21"/>
                      <w:szCs w:val="21"/>
                    </w:rPr>
                    <w:t>地面、地沟或围堰采用防腐、防渗处理</w:t>
                  </w:r>
                </w:p>
              </w:tc>
              <w:tc>
                <w:tcPr>
                  <w:tcW w:w="850" w:type="dxa"/>
                  <w:vAlign w:val="center"/>
                </w:tcPr>
                <w:p>
                  <w:pPr>
                    <w:autoSpaceDE w:val="0"/>
                    <w:autoSpaceDN w:val="0"/>
                    <w:adjustRightInd w:val="0"/>
                    <w:snapToGrid w:val="0"/>
                    <w:spacing w:line="240" w:lineRule="auto"/>
                    <w:ind w:firstLine="0" w:firstLineChars="0"/>
                    <w:jc w:val="center"/>
                    <w:rPr>
                      <w:rFonts w:ascii="Times New Roman" w:hAnsi="Times New Roman" w:cs="Times New Roman"/>
                      <w:snapToGrid w:val="0"/>
                      <w:kern w:val="18"/>
                      <w:sz w:val="21"/>
                      <w:szCs w:val="21"/>
                    </w:rPr>
                  </w:pPr>
                  <w:r>
                    <w:rPr>
                      <w:rFonts w:ascii="Times New Roman" w:hAnsi="Times New Roman" w:cs="Times New Roman"/>
                      <w:snapToGrid w:val="0"/>
                      <w:kern w:val="18"/>
                      <w:sz w:val="21"/>
                      <w:szCs w:val="21"/>
                    </w:rPr>
                    <w:t>20</w:t>
                  </w:r>
                </w:p>
              </w:tc>
              <w:tc>
                <w:tcPr>
                  <w:tcW w:w="2127" w:type="dxa"/>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napToGrid w:val="0"/>
                      <w:kern w:val="18"/>
                      <w:sz w:val="21"/>
                      <w:szCs w:val="21"/>
                    </w:rPr>
                    <w:t>不污染土壤及地下水</w:t>
                  </w:r>
                </w:p>
              </w:tc>
              <w:tc>
                <w:tcPr>
                  <w:tcW w:w="564" w:type="dxa"/>
                  <w:vMerge w:val="continue"/>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514" w:type="dxa"/>
                  <w:vAlign w:val="center"/>
                </w:tcPr>
                <w:p>
                  <w:pPr>
                    <w:adjustRightInd w:val="0"/>
                    <w:snapToGrid w:val="0"/>
                    <w:spacing w:line="240" w:lineRule="auto"/>
                    <w:ind w:firstLine="0" w:firstLineChars="0"/>
                    <w:jc w:val="center"/>
                    <w:rPr>
                      <w:rFonts w:ascii="Times New Roman" w:hAnsi="Times New Roman" w:cs="Times New Roman"/>
                      <w:snapToGrid w:val="0"/>
                      <w:kern w:val="18"/>
                      <w:sz w:val="21"/>
                      <w:szCs w:val="21"/>
                    </w:rPr>
                  </w:pPr>
                  <w:r>
                    <w:rPr>
                      <w:rFonts w:ascii="Times New Roman" w:hAnsi="Times New Roman" w:cs="Times New Roman"/>
                      <w:sz w:val="21"/>
                      <w:szCs w:val="21"/>
                    </w:rPr>
                    <w:t>噪声</w:t>
                  </w:r>
                </w:p>
              </w:tc>
              <w:tc>
                <w:tcPr>
                  <w:tcW w:w="4987" w:type="dxa"/>
                  <w:gridSpan w:val="3"/>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施工期：采取措施可避免或降低施工噪声对环境保护目标的影响；</w:t>
                  </w:r>
                </w:p>
                <w:p>
                  <w:pPr>
                    <w:adjustRightInd w:val="0"/>
                    <w:snapToGrid w:val="0"/>
                    <w:spacing w:line="240" w:lineRule="auto"/>
                    <w:ind w:firstLine="0" w:firstLineChars="0"/>
                    <w:jc w:val="center"/>
                    <w:rPr>
                      <w:rFonts w:ascii="Times New Roman" w:hAnsi="Times New Roman" w:cs="Times New Roman"/>
                      <w:snapToGrid w:val="0"/>
                      <w:kern w:val="18"/>
                      <w:sz w:val="21"/>
                      <w:szCs w:val="21"/>
                    </w:rPr>
                  </w:pPr>
                  <w:r>
                    <w:rPr>
                      <w:rFonts w:ascii="Times New Roman" w:hAnsi="Times New Roman" w:cs="Times New Roman"/>
                      <w:sz w:val="21"/>
                      <w:szCs w:val="21"/>
                    </w:rPr>
                    <w:t>运营期：</w:t>
                  </w:r>
                  <w:r>
                    <w:rPr>
                      <w:rFonts w:ascii="Times New Roman" w:hAnsi="Times New Roman" w:cs="Times New Roman"/>
                      <w:snapToGrid w:val="0"/>
                      <w:kern w:val="18"/>
                      <w:sz w:val="21"/>
                      <w:szCs w:val="21"/>
                    </w:rPr>
                    <w:t>基础减振、消声、隔声、距离衰减；</w:t>
                  </w:r>
                  <w:r>
                    <w:rPr>
                      <w:rFonts w:ascii="Times New Roman" w:hAnsi="Times New Roman" w:cs="Times New Roman"/>
                      <w:sz w:val="21"/>
                      <w:szCs w:val="21"/>
                    </w:rPr>
                    <w:t>加强管理，以保证边界噪声达标，不影响周围居民。</w:t>
                  </w:r>
                </w:p>
              </w:tc>
              <w:tc>
                <w:tcPr>
                  <w:tcW w:w="850" w:type="dxa"/>
                  <w:vAlign w:val="center"/>
                </w:tcPr>
                <w:p>
                  <w:pPr>
                    <w:autoSpaceDE w:val="0"/>
                    <w:autoSpaceDN w:val="0"/>
                    <w:adjustRightInd w:val="0"/>
                    <w:snapToGrid w:val="0"/>
                    <w:spacing w:line="240" w:lineRule="auto"/>
                    <w:ind w:firstLine="0" w:firstLineChars="0"/>
                    <w:jc w:val="center"/>
                    <w:rPr>
                      <w:rFonts w:ascii="Times New Roman" w:hAnsi="Times New Roman" w:cs="Times New Roman"/>
                      <w:snapToGrid w:val="0"/>
                      <w:kern w:val="18"/>
                      <w:sz w:val="21"/>
                      <w:szCs w:val="21"/>
                    </w:rPr>
                  </w:pPr>
                  <w:r>
                    <w:rPr>
                      <w:rFonts w:ascii="Times New Roman" w:hAnsi="Times New Roman" w:cs="Times New Roman"/>
                      <w:snapToGrid w:val="0"/>
                      <w:kern w:val="18"/>
                      <w:sz w:val="21"/>
                      <w:szCs w:val="21"/>
                    </w:rPr>
                    <w:t>30</w:t>
                  </w:r>
                </w:p>
              </w:tc>
              <w:tc>
                <w:tcPr>
                  <w:tcW w:w="2127" w:type="dxa"/>
                  <w:vAlign w:val="center"/>
                </w:tcPr>
                <w:p>
                  <w:pPr>
                    <w:autoSpaceDE w:val="0"/>
                    <w:autoSpaceDN w:val="0"/>
                    <w:adjustRightInd w:val="0"/>
                    <w:snapToGrid w:val="0"/>
                    <w:spacing w:line="240" w:lineRule="auto"/>
                    <w:ind w:firstLine="0" w:firstLineChars="0"/>
                    <w:jc w:val="center"/>
                    <w:rPr>
                      <w:rFonts w:ascii="Times New Roman" w:hAnsi="Times New Roman" w:cs="Times New Roman"/>
                      <w:snapToGrid w:val="0"/>
                      <w:kern w:val="18"/>
                      <w:sz w:val="21"/>
                      <w:szCs w:val="21"/>
                    </w:rPr>
                  </w:pPr>
                  <w:r>
                    <w:rPr>
                      <w:rFonts w:ascii="Times New Roman" w:hAnsi="Times New Roman" w:cs="Times New Roman"/>
                      <w:snapToGrid w:val="0"/>
                      <w:kern w:val="18"/>
                      <w:sz w:val="21"/>
                      <w:szCs w:val="21"/>
                    </w:rPr>
                    <w:t>厂界满足《工业企业厂界环境噪声排放标准》(GB12348-2008)中的2类标准</w:t>
                  </w:r>
                </w:p>
              </w:tc>
              <w:tc>
                <w:tcPr>
                  <w:tcW w:w="564" w:type="dxa"/>
                  <w:vMerge w:val="continue"/>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514" w:type="dxa"/>
                  <w:vAlign w:val="center"/>
                </w:tcPr>
                <w:p>
                  <w:pPr>
                    <w:adjustRightInd w:val="0"/>
                    <w:snapToGrid w:val="0"/>
                    <w:spacing w:line="240" w:lineRule="auto"/>
                    <w:ind w:firstLine="0" w:firstLineChars="0"/>
                    <w:jc w:val="center"/>
                    <w:rPr>
                      <w:rFonts w:ascii="Times New Roman" w:hAnsi="Times New Roman" w:cs="Times New Roman"/>
                      <w:snapToGrid w:val="0"/>
                      <w:kern w:val="18"/>
                      <w:sz w:val="21"/>
                      <w:szCs w:val="21"/>
                    </w:rPr>
                  </w:pPr>
                  <w:r>
                    <w:rPr>
                      <w:rFonts w:ascii="Times New Roman" w:hAnsi="Times New Roman" w:cs="Times New Roman"/>
                      <w:snapToGrid w:val="0"/>
                      <w:kern w:val="18"/>
                      <w:sz w:val="21"/>
                      <w:szCs w:val="21"/>
                    </w:rPr>
                    <w:t>排污口规范化设置</w:t>
                  </w:r>
                </w:p>
              </w:tc>
              <w:tc>
                <w:tcPr>
                  <w:tcW w:w="4987" w:type="dxa"/>
                  <w:gridSpan w:val="3"/>
                  <w:vAlign w:val="center"/>
                </w:tcPr>
                <w:p>
                  <w:pPr>
                    <w:adjustRightInd w:val="0"/>
                    <w:snapToGrid w:val="0"/>
                    <w:spacing w:line="240" w:lineRule="auto"/>
                    <w:ind w:firstLine="0" w:firstLineChars="0"/>
                    <w:jc w:val="center"/>
                    <w:rPr>
                      <w:rFonts w:ascii="Times New Roman" w:hAnsi="Times New Roman" w:cs="Times New Roman"/>
                      <w:snapToGrid w:val="0"/>
                      <w:kern w:val="18"/>
                      <w:sz w:val="21"/>
                      <w:szCs w:val="21"/>
                    </w:rPr>
                  </w:pPr>
                  <w:r>
                    <w:rPr>
                      <w:rFonts w:ascii="Times New Roman" w:hAnsi="Times New Roman" w:cs="Times New Roman"/>
                      <w:snapToGrid w:val="0"/>
                      <w:kern w:val="18"/>
                      <w:sz w:val="21"/>
                      <w:szCs w:val="21"/>
                    </w:rPr>
                    <w:t>新建雨水管网、污水管网、雨水排口、污水排口。</w:t>
                  </w:r>
                </w:p>
              </w:tc>
              <w:tc>
                <w:tcPr>
                  <w:tcW w:w="850" w:type="dxa"/>
                  <w:vAlign w:val="center"/>
                </w:tcPr>
                <w:p>
                  <w:pPr>
                    <w:autoSpaceDE w:val="0"/>
                    <w:autoSpaceDN w:val="0"/>
                    <w:adjustRightInd w:val="0"/>
                    <w:snapToGrid w:val="0"/>
                    <w:spacing w:line="240" w:lineRule="auto"/>
                    <w:ind w:firstLine="0" w:firstLineChars="0"/>
                    <w:jc w:val="center"/>
                    <w:rPr>
                      <w:rFonts w:ascii="Times New Roman" w:hAnsi="Times New Roman" w:cs="Times New Roman"/>
                      <w:snapToGrid w:val="0"/>
                      <w:kern w:val="18"/>
                      <w:sz w:val="21"/>
                      <w:szCs w:val="21"/>
                    </w:rPr>
                  </w:pPr>
                  <w:r>
                    <w:rPr>
                      <w:rFonts w:ascii="Times New Roman" w:hAnsi="Times New Roman" w:cs="Times New Roman"/>
                      <w:snapToGrid w:val="0"/>
                      <w:kern w:val="18"/>
                      <w:sz w:val="21"/>
                      <w:szCs w:val="21"/>
                    </w:rPr>
                    <w:t>10</w:t>
                  </w:r>
                </w:p>
              </w:tc>
              <w:tc>
                <w:tcPr>
                  <w:tcW w:w="2127" w:type="dxa"/>
                  <w:vAlign w:val="center"/>
                </w:tcPr>
                <w:p>
                  <w:pPr>
                    <w:autoSpaceDE w:val="0"/>
                    <w:autoSpaceDN w:val="0"/>
                    <w:adjustRightInd w:val="0"/>
                    <w:snapToGrid w:val="0"/>
                    <w:spacing w:line="240" w:lineRule="auto"/>
                    <w:ind w:firstLine="0" w:firstLineChars="0"/>
                    <w:jc w:val="center"/>
                    <w:rPr>
                      <w:rFonts w:ascii="Times New Roman" w:hAnsi="Times New Roman" w:cs="Times New Roman"/>
                      <w:snapToGrid w:val="0"/>
                      <w:kern w:val="18"/>
                      <w:sz w:val="21"/>
                      <w:szCs w:val="21"/>
                    </w:rPr>
                  </w:pPr>
                  <w:r>
                    <w:rPr>
                      <w:rFonts w:ascii="Times New Roman" w:hAnsi="Times New Roman" w:cs="Times New Roman"/>
                      <w:snapToGrid w:val="0"/>
                      <w:kern w:val="18"/>
                      <w:sz w:val="21"/>
                      <w:szCs w:val="21"/>
                    </w:rPr>
                    <w:t>清污分流、雨污分流</w:t>
                  </w:r>
                </w:p>
              </w:tc>
              <w:tc>
                <w:tcPr>
                  <w:tcW w:w="564" w:type="dxa"/>
                  <w:vMerge w:val="continue"/>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514" w:type="dxa"/>
                  <w:vAlign w:val="center"/>
                </w:tcPr>
                <w:p>
                  <w:pPr>
                    <w:adjustRightInd w:val="0"/>
                    <w:snapToGrid w:val="0"/>
                    <w:spacing w:line="240" w:lineRule="auto"/>
                    <w:ind w:firstLine="0" w:firstLineChars="0"/>
                    <w:jc w:val="center"/>
                    <w:rPr>
                      <w:rFonts w:ascii="Times New Roman" w:hAnsi="Times New Roman" w:cs="Times New Roman"/>
                      <w:snapToGrid w:val="0"/>
                      <w:kern w:val="18"/>
                      <w:sz w:val="21"/>
                      <w:szCs w:val="21"/>
                    </w:rPr>
                  </w:pPr>
                  <w:r>
                    <w:rPr>
                      <w:rFonts w:ascii="Times New Roman" w:hAnsi="Times New Roman" w:cs="Times New Roman"/>
                      <w:snapToGrid w:val="0"/>
                      <w:kern w:val="18"/>
                      <w:sz w:val="21"/>
                      <w:szCs w:val="21"/>
                    </w:rPr>
                    <w:t>风险措施</w:t>
                  </w:r>
                </w:p>
              </w:tc>
              <w:tc>
                <w:tcPr>
                  <w:tcW w:w="4987" w:type="dxa"/>
                  <w:gridSpan w:val="3"/>
                  <w:vAlign w:val="center"/>
                </w:tcPr>
                <w:p>
                  <w:pPr>
                    <w:adjustRightInd w:val="0"/>
                    <w:snapToGrid w:val="0"/>
                    <w:spacing w:line="240" w:lineRule="auto"/>
                    <w:ind w:firstLine="0" w:firstLineChars="0"/>
                    <w:jc w:val="center"/>
                    <w:rPr>
                      <w:rFonts w:ascii="Times New Roman" w:hAnsi="Times New Roman" w:cs="Times New Roman"/>
                      <w:snapToGrid w:val="0"/>
                      <w:kern w:val="18"/>
                      <w:sz w:val="21"/>
                      <w:szCs w:val="21"/>
                    </w:rPr>
                  </w:pPr>
                  <w:r>
                    <w:rPr>
                      <w:rFonts w:ascii="Times New Roman" w:hAnsi="Times New Roman" w:cs="Times New Roman"/>
                      <w:snapToGrid w:val="0"/>
                      <w:kern w:val="18"/>
                      <w:sz w:val="21"/>
                      <w:szCs w:val="21"/>
                    </w:rPr>
                    <w:t>新建一座事故应急池。</w:t>
                  </w:r>
                </w:p>
              </w:tc>
              <w:tc>
                <w:tcPr>
                  <w:tcW w:w="850" w:type="dxa"/>
                  <w:vAlign w:val="center"/>
                </w:tcPr>
                <w:p>
                  <w:pPr>
                    <w:autoSpaceDE w:val="0"/>
                    <w:autoSpaceDN w:val="0"/>
                    <w:adjustRightInd w:val="0"/>
                    <w:snapToGrid w:val="0"/>
                    <w:spacing w:line="240" w:lineRule="auto"/>
                    <w:ind w:firstLine="0" w:firstLineChars="0"/>
                    <w:jc w:val="center"/>
                    <w:rPr>
                      <w:rFonts w:ascii="Times New Roman" w:hAnsi="Times New Roman" w:cs="Times New Roman"/>
                      <w:snapToGrid w:val="0"/>
                      <w:kern w:val="18"/>
                      <w:sz w:val="21"/>
                      <w:szCs w:val="21"/>
                    </w:rPr>
                  </w:pPr>
                  <w:r>
                    <w:rPr>
                      <w:rFonts w:ascii="Times New Roman" w:hAnsi="Times New Roman" w:cs="Times New Roman"/>
                      <w:snapToGrid w:val="0"/>
                      <w:kern w:val="18"/>
                      <w:sz w:val="21"/>
                      <w:szCs w:val="21"/>
                    </w:rPr>
                    <w:t>30</w:t>
                  </w:r>
                </w:p>
              </w:tc>
              <w:tc>
                <w:tcPr>
                  <w:tcW w:w="2127" w:type="dxa"/>
                  <w:vAlign w:val="center"/>
                </w:tcPr>
                <w:p>
                  <w:pPr>
                    <w:autoSpaceDE w:val="0"/>
                    <w:autoSpaceDN w:val="0"/>
                    <w:adjustRightInd w:val="0"/>
                    <w:snapToGrid w:val="0"/>
                    <w:spacing w:line="240" w:lineRule="auto"/>
                    <w:ind w:firstLine="0" w:firstLineChars="0"/>
                    <w:jc w:val="center"/>
                    <w:rPr>
                      <w:rFonts w:ascii="Times New Roman" w:hAnsi="Times New Roman" w:cs="Times New Roman"/>
                      <w:snapToGrid w:val="0"/>
                      <w:kern w:val="18"/>
                      <w:sz w:val="21"/>
                      <w:szCs w:val="21"/>
                    </w:rPr>
                  </w:pPr>
                  <w:r>
                    <w:rPr>
                      <w:rFonts w:ascii="Times New Roman" w:hAnsi="Times New Roman" w:cs="Times New Roman"/>
                      <w:snapToGrid w:val="0"/>
                      <w:kern w:val="18"/>
                      <w:sz w:val="21"/>
                      <w:szCs w:val="21"/>
                    </w:rPr>
                    <w:t>事故废水不外排</w:t>
                  </w:r>
                </w:p>
              </w:tc>
              <w:tc>
                <w:tcPr>
                  <w:tcW w:w="564" w:type="dxa"/>
                  <w:vMerge w:val="continue"/>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615" w:type="dxa"/>
                  <w:gridSpan w:val="3"/>
                  <w:vAlign w:val="center"/>
                </w:tcPr>
                <w:p>
                  <w:pPr>
                    <w:adjustRightInd w:val="0"/>
                    <w:snapToGrid w:val="0"/>
                    <w:spacing w:line="240" w:lineRule="auto"/>
                    <w:ind w:firstLine="0" w:firstLineChars="0"/>
                    <w:jc w:val="center"/>
                    <w:rPr>
                      <w:rFonts w:ascii="Times New Roman" w:hAnsi="Times New Roman" w:cs="Times New Roman"/>
                      <w:snapToGrid w:val="0"/>
                      <w:kern w:val="18"/>
                      <w:sz w:val="21"/>
                      <w:szCs w:val="21"/>
                    </w:rPr>
                  </w:pPr>
                  <w:r>
                    <w:rPr>
                      <w:rFonts w:ascii="Times New Roman" w:hAnsi="Times New Roman" w:cs="Times New Roman"/>
                      <w:snapToGrid w:val="0"/>
                      <w:kern w:val="18"/>
                      <w:sz w:val="21"/>
                      <w:szCs w:val="21"/>
                    </w:rPr>
                    <w:t>环境管理</w:t>
                  </w:r>
                </w:p>
              </w:tc>
              <w:tc>
                <w:tcPr>
                  <w:tcW w:w="2886" w:type="dxa"/>
                  <w:vAlign w:val="center"/>
                </w:tcPr>
                <w:p>
                  <w:pPr>
                    <w:adjustRightInd w:val="0"/>
                    <w:snapToGrid w:val="0"/>
                    <w:spacing w:line="240" w:lineRule="auto"/>
                    <w:ind w:firstLine="0" w:firstLineChars="0"/>
                    <w:jc w:val="center"/>
                    <w:rPr>
                      <w:rFonts w:ascii="Times New Roman" w:hAnsi="Times New Roman" w:cs="Times New Roman"/>
                      <w:snapToGrid w:val="0"/>
                      <w:kern w:val="18"/>
                      <w:sz w:val="21"/>
                      <w:szCs w:val="21"/>
                    </w:rPr>
                  </w:pPr>
                  <w:r>
                    <w:rPr>
                      <w:rFonts w:ascii="Times New Roman" w:hAnsi="Times New Roman" w:cs="Times New Roman"/>
                      <w:snapToGrid w:val="0"/>
                      <w:kern w:val="18"/>
                      <w:sz w:val="21"/>
                      <w:szCs w:val="21"/>
                    </w:rPr>
                    <w:t>设置环境保护管理机构，设专职环保管理人员1~2人。</w:t>
                  </w:r>
                </w:p>
              </w:tc>
              <w:tc>
                <w:tcPr>
                  <w:tcW w:w="850" w:type="dxa"/>
                  <w:vAlign w:val="center"/>
                </w:tcPr>
                <w:p>
                  <w:pPr>
                    <w:spacing w:line="240" w:lineRule="auto"/>
                    <w:ind w:firstLine="0" w:firstLineChars="0"/>
                    <w:jc w:val="center"/>
                    <w:rPr>
                      <w:rFonts w:ascii="Times New Roman" w:hAnsi="Times New Roman" w:cs="Times New Roman"/>
                    </w:rPr>
                  </w:pPr>
                  <w:r>
                    <w:rPr>
                      <w:rFonts w:ascii="Times New Roman" w:hAnsi="Times New Roman" w:cs="Times New Roman"/>
                      <w:snapToGrid w:val="0"/>
                      <w:kern w:val="18"/>
                      <w:sz w:val="21"/>
                      <w:szCs w:val="21"/>
                    </w:rPr>
                    <w:t>——</w:t>
                  </w:r>
                </w:p>
              </w:tc>
              <w:tc>
                <w:tcPr>
                  <w:tcW w:w="2127" w:type="dxa"/>
                  <w:vAlign w:val="center"/>
                </w:tcPr>
                <w:p>
                  <w:pPr>
                    <w:spacing w:line="240" w:lineRule="auto"/>
                    <w:ind w:firstLine="0" w:firstLineChars="0"/>
                    <w:jc w:val="center"/>
                    <w:rPr>
                      <w:rFonts w:ascii="Times New Roman" w:hAnsi="Times New Roman" w:cs="Times New Roman"/>
                    </w:rPr>
                  </w:pPr>
                  <w:r>
                    <w:rPr>
                      <w:rFonts w:ascii="Times New Roman" w:hAnsi="Times New Roman" w:cs="Times New Roman"/>
                      <w:snapToGrid w:val="0"/>
                      <w:kern w:val="18"/>
                      <w:sz w:val="21"/>
                      <w:szCs w:val="21"/>
                    </w:rPr>
                    <w:t>——</w:t>
                  </w:r>
                </w:p>
              </w:tc>
              <w:tc>
                <w:tcPr>
                  <w:tcW w:w="564" w:type="dxa"/>
                  <w:vMerge w:val="continue"/>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615" w:type="dxa"/>
                  <w:gridSpan w:val="3"/>
                  <w:vAlign w:val="center"/>
                </w:tcPr>
                <w:p>
                  <w:pPr>
                    <w:adjustRightInd w:val="0"/>
                    <w:snapToGrid w:val="0"/>
                    <w:spacing w:line="240" w:lineRule="auto"/>
                    <w:ind w:firstLine="0" w:firstLineChars="0"/>
                    <w:jc w:val="center"/>
                    <w:rPr>
                      <w:rFonts w:ascii="Times New Roman" w:hAnsi="Times New Roman" w:cs="Times New Roman"/>
                      <w:snapToGrid w:val="0"/>
                      <w:kern w:val="18"/>
                      <w:sz w:val="21"/>
                      <w:szCs w:val="21"/>
                    </w:rPr>
                  </w:pPr>
                  <w:r>
                    <w:rPr>
                      <w:rFonts w:ascii="Times New Roman" w:hAnsi="Times New Roman" w:cs="Times New Roman"/>
                      <w:snapToGrid w:val="0"/>
                      <w:kern w:val="18"/>
                      <w:sz w:val="21"/>
                      <w:szCs w:val="21"/>
                    </w:rPr>
                    <w:t>绿化</w:t>
                  </w:r>
                </w:p>
              </w:tc>
              <w:tc>
                <w:tcPr>
                  <w:tcW w:w="2886" w:type="dxa"/>
                  <w:vAlign w:val="center"/>
                </w:tcPr>
                <w:p>
                  <w:pPr>
                    <w:adjustRightInd w:val="0"/>
                    <w:snapToGrid w:val="0"/>
                    <w:spacing w:line="240" w:lineRule="auto"/>
                    <w:ind w:firstLine="0" w:firstLineChars="0"/>
                    <w:jc w:val="center"/>
                    <w:rPr>
                      <w:rFonts w:ascii="Times New Roman" w:hAnsi="Times New Roman" w:cs="Times New Roman"/>
                      <w:snapToGrid w:val="0"/>
                      <w:kern w:val="18"/>
                      <w:sz w:val="21"/>
                      <w:szCs w:val="21"/>
                    </w:rPr>
                  </w:pPr>
                  <w:r>
                    <w:rPr>
                      <w:rFonts w:ascii="Times New Roman" w:hAnsi="Times New Roman" w:cs="Times New Roman"/>
                      <w:snapToGrid w:val="0"/>
                      <w:kern w:val="18"/>
                      <w:sz w:val="21"/>
                      <w:szCs w:val="21"/>
                    </w:rPr>
                    <w:t>——</w:t>
                  </w:r>
                </w:p>
              </w:tc>
              <w:tc>
                <w:tcPr>
                  <w:tcW w:w="850" w:type="dxa"/>
                  <w:vAlign w:val="center"/>
                </w:tcPr>
                <w:p>
                  <w:pPr>
                    <w:spacing w:line="240" w:lineRule="auto"/>
                    <w:ind w:firstLine="0" w:firstLineChars="0"/>
                    <w:jc w:val="center"/>
                    <w:rPr>
                      <w:rFonts w:ascii="Times New Roman" w:hAnsi="Times New Roman" w:cs="Times New Roman"/>
                    </w:rPr>
                  </w:pPr>
                  <w:r>
                    <w:rPr>
                      <w:rFonts w:ascii="Times New Roman" w:hAnsi="Times New Roman" w:cs="Times New Roman"/>
                      <w:snapToGrid w:val="0"/>
                      <w:kern w:val="18"/>
                      <w:sz w:val="21"/>
                      <w:szCs w:val="21"/>
                    </w:rPr>
                    <w:t>10</w:t>
                  </w:r>
                </w:p>
              </w:tc>
              <w:tc>
                <w:tcPr>
                  <w:tcW w:w="2127" w:type="dxa"/>
                  <w:vAlign w:val="center"/>
                </w:tcPr>
                <w:p>
                  <w:pPr>
                    <w:spacing w:line="240" w:lineRule="auto"/>
                    <w:ind w:firstLine="0" w:firstLineChars="0"/>
                    <w:jc w:val="center"/>
                    <w:rPr>
                      <w:rFonts w:ascii="Times New Roman" w:hAnsi="Times New Roman" w:cs="Times New Roman"/>
                    </w:rPr>
                  </w:pPr>
                  <w:r>
                    <w:rPr>
                      <w:rFonts w:ascii="Times New Roman" w:hAnsi="Times New Roman" w:cs="Times New Roman"/>
                      <w:snapToGrid w:val="0"/>
                      <w:kern w:val="18"/>
                      <w:sz w:val="21"/>
                      <w:szCs w:val="21"/>
                    </w:rPr>
                    <w:t>——</w:t>
                  </w:r>
                </w:p>
              </w:tc>
              <w:tc>
                <w:tcPr>
                  <w:tcW w:w="564" w:type="dxa"/>
                  <w:vMerge w:val="continue"/>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615" w:type="dxa"/>
                  <w:gridSpan w:val="3"/>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其它</w:t>
                  </w:r>
                </w:p>
              </w:tc>
              <w:tc>
                <w:tcPr>
                  <w:tcW w:w="6427" w:type="dxa"/>
                  <w:gridSpan w:val="4"/>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napToGrid w:val="0"/>
                      <w:kern w:val="18"/>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615" w:type="dxa"/>
                  <w:gridSpan w:val="3"/>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napToGrid w:val="0"/>
                      <w:kern w:val="18"/>
                      <w:sz w:val="21"/>
                      <w:szCs w:val="21"/>
                    </w:rPr>
                    <w:t>环保投资总额（万元）</w:t>
                  </w:r>
                </w:p>
              </w:tc>
              <w:tc>
                <w:tcPr>
                  <w:tcW w:w="6427" w:type="dxa"/>
                  <w:gridSpan w:val="4"/>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1880.5</w:t>
                  </w:r>
                </w:p>
              </w:tc>
            </w:tr>
          </w:tbl>
          <w:p>
            <w:pPr>
              <w:spacing w:before="60" w:beforeLines="25" w:after="60" w:afterLines="25" w:line="240" w:lineRule="auto"/>
              <w:ind w:firstLine="0" w:firstLineChars="0"/>
              <w:rPr>
                <w:rFonts w:ascii="Times New Roman" w:hAnsi="Times New Roman" w:cs="Times New Roman"/>
                <w:b/>
              </w:rPr>
            </w:pPr>
          </w:p>
          <w:p>
            <w:pPr>
              <w:spacing w:before="60" w:beforeLines="25" w:after="60" w:afterLines="25" w:line="240" w:lineRule="auto"/>
              <w:ind w:firstLine="0" w:firstLineChars="0"/>
              <w:rPr>
                <w:rFonts w:ascii="Times New Roman" w:hAnsi="Times New Roman" w:cs="Times New Roman"/>
                <w:b/>
              </w:rPr>
            </w:pPr>
          </w:p>
          <w:p>
            <w:pPr>
              <w:spacing w:before="60" w:beforeLines="25" w:after="60" w:afterLines="25" w:line="240" w:lineRule="auto"/>
              <w:ind w:firstLine="0" w:firstLineChars="0"/>
              <w:rPr>
                <w:rFonts w:ascii="Times New Roman" w:hAnsi="Times New Roman" w:cs="Times New Roman"/>
                <w:b/>
              </w:rPr>
            </w:pPr>
          </w:p>
          <w:p>
            <w:pPr>
              <w:spacing w:before="60" w:beforeLines="25" w:after="60" w:afterLines="25" w:line="240" w:lineRule="auto"/>
              <w:ind w:firstLine="0" w:firstLineChars="0"/>
              <w:rPr>
                <w:rFonts w:ascii="Times New Roman" w:hAnsi="Times New Roman" w:cs="Times New Roman"/>
                <w:b/>
              </w:rPr>
            </w:pPr>
          </w:p>
          <w:p>
            <w:pPr>
              <w:spacing w:before="60" w:beforeLines="25" w:after="60" w:afterLines="25" w:line="240" w:lineRule="auto"/>
              <w:ind w:firstLine="0" w:firstLineChars="0"/>
              <w:rPr>
                <w:rFonts w:ascii="Times New Roman" w:hAnsi="Times New Roman" w:cs="Times New Roman"/>
                <w:b/>
              </w:rPr>
            </w:pPr>
          </w:p>
          <w:p>
            <w:pPr>
              <w:spacing w:before="60" w:beforeLines="25" w:after="60" w:afterLines="25" w:line="240" w:lineRule="auto"/>
              <w:ind w:firstLine="0" w:firstLineChars="0"/>
              <w:rPr>
                <w:rFonts w:ascii="Times New Roman" w:hAnsi="Times New Roman" w:cs="Times New Roman"/>
                <w:b/>
              </w:rPr>
            </w:pPr>
          </w:p>
          <w:p>
            <w:pPr>
              <w:spacing w:before="60" w:beforeLines="25" w:after="60" w:afterLines="25" w:line="240" w:lineRule="auto"/>
              <w:ind w:firstLine="0" w:firstLineChars="0"/>
              <w:rPr>
                <w:rFonts w:ascii="Times New Roman" w:hAnsi="Times New Roman" w:cs="Times New Roman"/>
                <w:b/>
              </w:rPr>
            </w:pPr>
          </w:p>
          <w:p>
            <w:pPr>
              <w:spacing w:before="60" w:beforeLines="25" w:after="60" w:afterLines="25" w:line="240" w:lineRule="auto"/>
              <w:ind w:firstLine="0" w:firstLineChars="0"/>
              <w:rPr>
                <w:rFonts w:ascii="Times New Roman" w:hAnsi="Times New Roman" w:cs="Times New Roman"/>
                <w:b/>
              </w:rPr>
            </w:pPr>
          </w:p>
          <w:p>
            <w:pPr>
              <w:spacing w:before="60" w:beforeLines="25" w:after="60" w:afterLines="25" w:line="240" w:lineRule="auto"/>
              <w:ind w:firstLine="0" w:firstLineChars="0"/>
              <w:rPr>
                <w:rFonts w:ascii="Times New Roman" w:hAnsi="Times New Roman" w:cs="Times New Roman"/>
                <w:b/>
              </w:rPr>
            </w:pPr>
          </w:p>
          <w:p>
            <w:pPr>
              <w:spacing w:before="60" w:beforeLines="25" w:after="60" w:afterLines="25" w:line="240" w:lineRule="auto"/>
              <w:ind w:firstLine="0" w:firstLineChars="0"/>
              <w:rPr>
                <w:rFonts w:ascii="Times New Roman" w:hAnsi="Times New Roman" w:cs="Times New Roman"/>
                <w:b/>
              </w:rPr>
            </w:pPr>
          </w:p>
          <w:p>
            <w:pPr>
              <w:spacing w:before="60" w:beforeLines="25" w:after="60" w:afterLines="25" w:line="240" w:lineRule="auto"/>
              <w:ind w:firstLine="0" w:firstLineChars="0"/>
              <w:rPr>
                <w:rFonts w:ascii="Times New Roman" w:hAnsi="Times New Roman" w:cs="Times New Roman"/>
                <w:b/>
              </w:rPr>
            </w:pPr>
          </w:p>
          <w:p>
            <w:pPr>
              <w:spacing w:before="60" w:beforeLines="25" w:after="60" w:afterLines="25" w:line="240" w:lineRule="auto"/>
              <w:ind w:firstLine="0" w:firstLineChars="0"/>
              <w:rPr>
                <w:rFonts w:ascii="Times New Roman" w:hAnsi="Times New Roman" w:cs="Times New Roman"/>
                <w:b/>
              </w:rPr>
            </w:pPr>
          </w:p>
          <w:p>
            <w:pPr>
              <w:spacing w:before="60" w:beforeLines="25" w:after="60" w:afterLines="25" w:line="240" w:lineRule="auto"/>
              <w:ind w:firstLine="0" w:firstLineChars="0"/>
              <w:rPr>
                <w:rFonts w:ascii="Times New Roman" w:hAnsi="Times New Roman" w:cs="Times New Roman"/>
                <w:b/>
              </w:rPr>
            </w:pPr>
          </w:p>
          <w:p>
            <w:pPr>
              <w:spacing w:before="60" w:beforeLines="25" w:after="60" w:afterLines="25" w:line="240" w:lineRule="auto"/>
              <w:ind w:firstLine="0" w:firstLineChars="0"/>
              <w:rPr>
                <w:rFonts w:ascii="Times New Roman" w:hAnsi="Times New Roman" w:cs="Times New Roman"/>
                <w:b/>
              </w:rPr>
            </w:pPr>
          </w:p>
          <w:p>
            <w:pPr>
              <w:spacing w:before="60" w:beforeLines="25" w:after="60" w:afterLines="25" w:line="240" w:lineRule="auto"/>
              <w:ind w:firstLine="0" w:firstLineChars="0"/>
              <w:rPr>
                <w:rFonts w:ascii="Times New Roman" w:hAnsi="Times New Roman" w:cs="Times New Roman"/>
                <w:b/>
              </w:rPr>
            </w:pPr>
          </w:p>
          <w:p>
            <w:pPr>
              <w:spacing w:before="60" w:beforeLines="25" w:after="60" w:afterLines="25" w:line="240" w:lineRule="auto"/>
              <w:ind w:firstLine="0" w:firstLineChars="0"/>
              <w:rPr>
                <w:rFonts w:ascii="Times New Roman" w:hAnsi="Times New Roman" w:cs="Times New Roman"/>
                <w:b/>
              </w:rPr>
            </w:pPr>
          </w:p>
          <w:p>
            <w:pPr>
              <w:spacing w:before="60" w:beforeLines="25" w:after="60" w:afterLines="25" w:line="240" w:lineRule="auto"/>
              <w:ind w:firstLine="0" w:firstLineChars="0"/>
              <w:rPr>
                <w:rFonts w:ascii="Times New Roman" w:hAnsi="Times New Roman" w:cs="Times New Roman"/>
                <w:b/>
              </w:rPr>
            </w:pPr>
          </w:p>
          <w:p>
            <w:pPr>
              <w:spacing w:before="60" w:beforeLines="25" w:after="60" w:afterLines="25" w:line="240" w:lineRule="auto"/>
              <w:ind w:firstLine="0" w:firstLineChars="0"/>
              <w:rPr>
                <w:rFonts w:ascii="Times New Roman" w:hAnsi="Times New Roman" w:cs="Times New Roman"/>
                <w:b/>
              </w:rPr>
            </w:pPr>
          </w:p>
          <w:p>
            <w:pPr>
              <w:spacing w:before="60" w:beforeLines="25" w:after="60" w:afterLines="25" w:line="240" w:lineRule="auto"/>
              <w:ind w:firstLine="0" w:firstLineChars="0"/>
              <w:rPr>
                <w:rFonts w:ascii="Times New Roman" w:hAnsi="Times New Roman" w:cs="Times New Roman"/>
                <w:b/>
              </w:rPr>
            </w:pPr>
          </w:p>
          <w:p>
            <w:pPr>
              <w:spacing w:before="60" w:beforeLines="25" w:after="60" w:afterLines="25" w:line="240" w:lineRule="auto"/>
              <w:ind w:firstLine="0" w:firstLineChars="0"/>
              <w:rPr>
                <w:rFonts w:ascii="Times New Roman" w:hAnsi="Times New Roman" w:cs="Times New Roman"/>
                <w:b/>
              </w:rPr>
            </w:pPr>
          </w:p>
          <w:p>
            <w:pPr>
              <w:spacing w:before="60" w:beforeLines="25" w:after="60" w:afterLines="25" w:line="240" w:lineRule="auto"/>
              <w:ind w:firstLine="0" w:firstLineChars="0"/>
              <w:rPr>
                <w:rFonts w:ascii="Times New Roman" w:hAnsi="Times New Roman" w:cs="Times New Roman"/>
                <w:b/>
              </w:rPr>
            </w:pPr>
          </w:p>
          <w:p>
            <w:pPr>
              <w:spacing w:before="60" w:beforeLines="25" w:after="60" w:afterLines="25" w:line="240" w:lineRule="auto"/>
              <w:ind w:firstLine="0" w:firstLineChars="0"/>
              <w:rPr>
                <w:rFonts w:ascii="Times New Roman" w:hAnsi="Times New Roman" w:cs="Times New Roman"/>
                <w:b/>
              </w:rPr>
            </w:pPr>
          </w:p>
          <w:p>
            <w:pPr>
              <w:spacing w:before="60" w:beforeLines="25" w:after="60" w:afterLines="25" w:line="240" w:lineRule="auto"/>
              <w:ind w:firstLine="0" w:firstLineChars="0"/>
              <w:rPr>
                <w:rFonts w:ascii="Times New Roman" w:hAnsi="Times New Roman" w:cs="Times New Roman"/>
                <w:b/>
              </w:rPr>
            </w:pPr>
          </w:p>
          <w:p>
            <w:pPr>
              <w:spacing w:before="60" w:beforeLines="25" w:after="60" w:afterLines="25" w:line="240" w:lineRule="auto"/>
              <w:ind w:firstLine="0" w:firstLineChars="0"/>
              <w:rPr>
                <w:rFonts w:ascii="Times New Roman" w:hAnsi="Times New Roman" w:cs="Times New Roman"/>
                <w:b/>
              </w:rPr>
            </w:pPr>
          </w:p>
          <w:p>
            <w:pPr>
              <w:spacing w:before="60" w:beforeLines="25" w:after="60" w:afterLines="25" w:line="240" w:lineRule="auto"/>
              <w:ind w:firstLine="0" w:firstLineChars="0"/>
              <w:rPr>
                <w:rFonts w:ascii="Times New Roman" w:hAnsi="Times New Roman" w:cs="Times New Roman"/>
                <w:b/>
              </w:rPr>
            </w:pPr>
          </w:p>
          <w:p>
            <w:pPr>
              <w:spacing w:before="60" w:beforeLines="25" w:after="60" w:afterLines="25" w:line="240" w:lineRule="auto"/>
              <w:ind w:firstLine="0" w:firstLineChars="0"/>
              <w:rPr>
                <w:rFonts w:ascii="Times New Roman" w:hAnsi="Times New Roman" w:cs="Times New Roman"/>
                <w:b/>
              </w:rPr>
            </w:pPr>
          </w:p>
          <w:p>
            <w:pPr>
              <w:spacing w:before="60" w:beforeLines="25" w:after="60" w:afterLines="25" w:line="240" w:lineRule="auto"/>
              <w:ind w:firstLine="0" w:firstLineChars="0"/>
              <w:rPr>
                <w:rFonts w:ascii="Times New Roman" w:hAnsi="Times New Roman" w:cs="Times New Roman"/>
                <w:b/>
              </w:rPr>
            </w:pPr>
          </w:p>
          <w:p>
            <w:pPr>
              <w:spacing w:before="60" w:beforeLines="25" w:after="60" w:afterLines="25" w:line="240" w:lineRule="auto"/>
              <w:ind w:firstLine="0" w:firstLineChars="0"/>
              <w:rPr>
                <w:rFonts w:ascii="Times New Roman" w:hAnsi="Times New Roman" w:cs="Times New Roman"/>
                <w:b/>
              </w:rPr>
            </w:pPr>
          </w:p>
          <w:p>
            <w:pPr>
              <w:spacing w:before="60" w:beforeLines="25" w:after="60" w:afterLines="25" w:line="240" w:lineRule="auto"/>
              <w:ind w:firstLine="0" w:firstLineChars="0"/>
              <w:rPr>
                <w:rFonts w:ascii="Times New Roman" w:hAnsi="Times New Roman" w:cs="Times New Roman"/>
                <w:b/>
              </w:rPr>
            </w:pPr>
          </w:p>
          <w:p>
            <w:pPr>
              <w:spacing w:before="60" w:beforeLines="25" w:after="60" w:afterLines="25" w:line="240" w:lineRule="auto"/>
              <w:ind w:firstLine="0" w:firstLineChars="0"/>
              <w:rPr>
                <w:rFonts w:ascii="Times New Roman" w:hAnsi="Times New Roman" w:cs="Times New Roman"/>
                <w:b/>
              </w:rPr>
            </w:pPr>
          </w:p>
          <w:p>
            <w:pPr>
              <w:spacing w:before="60" w:beforeLines="25" w:after="60" w:afterLines="25" w:line="240" w:lineRule="auto"/>
              <w:ind w:firstLine="0" w:firstLineChars="0"/>
              <w:rPr>
                <w:rFonts w:ascii="Times New Roman" w:hAnsi="Times New Roman" w:cs="Times New Roman"/>
                <w:b/>
              </w:rPr>
            </w:pPr>
          </w:p>
          <w:p>
            <w:pPr>
              <w:spacing w:before="60" w:beforeLines="25" w:after="60" w:afterLines="25" w:line="240" w:lineRule="auto"/>
              <w:ind w:firstLine="0" w:firstLineChars="0"/>
              <w:rPr>
                <w:rFonts w:ascii="Times New Roman" w:hAnsi="Times New Roman" w:cs="Times New Roman"/>
                <w:b/>
              </w:rPr>
            </w:pPr>
          </w:p>
          <w:p>
            <w:pPr>
              <w:spacing w:before="60" w:beforeLines="25" w:after="60" w:afterLines="25" w:line="240" w:lineRule="auto"/>
              <w:ind w:firstLine="0" w:firstLineChars="0"/>
              <w:rPr>
                <w:rFonts w:ascii="Times New Roman" w:hAnsi="Times New Roman" w:cs="Times New Roman"/>
                <w:b/>
              </w:rPr>
            </w:pPr>
          </w:p>
          <w:p>
            <w:pPr>
              <w:spacing w:before="60" w:beforeLines="25" w:after="60" w:afterLines="25" w:line="240" w:lineRule="auto"/>
              <w:ind w:firstLine="0" w:firstLineChars="0"/>
              <w:rPr>
                <w:rFonts w:ascii="Times New Roman" w:hAnsi="Times New Roman" w:cs="Times New Roman"/>
                <w:b/>
              </w:rPr>
            </w:pPr>
          </w:p>
        </w:tc>
      </w:tr>
    </w:tbl>
    <w:p>
      <w:pPr>
        <w:pStyle w:val="2"/>
        <w:jc w:val="left"/>
        <w:rPr>
          <w:rFonts w:ascii="Times New Roman" w:hAnsi="Times New Roman" w:cs="Times New Roman"/>
        </w:rPr>
      </w:pPr>
      <w:r>
        <w:rPr>
          <w:rFonts w:ascii="Times New Roman" w:hAnsi="Times New Roman" w:cs="Times New Roman"/>
        </w:rPr>
        <w:t>建设项目拟采取的防治措施及预期治理效果</w:t>
      </w:r>
    </w:p>
    <w:tbl>
      <w:tblPr>
        <w:tblStyle w:val="11"/>
        <w:tblW w:w="912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8"/>
        <w:gridCol w:w="1053"/>
        <w:gridCol w:w="1703"/>
        <w:gridCol w:w="3402"/>
        <w:gridCol w:w="20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58" w:type="dxa"/>
            <w:tcBorders>
              <w:tl2br w:val="single" w:color="auto" w:sz="4" w:space="0"/>
            </w:tcBorders>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 xml:space="preserve">   内容</w:t>
            </w:r>
          </w:p>
          <w:p>
            <w:pPr>
              <w:pStyle w:val="12"/>
              <w:spacing w:line="240" w:lineRule="auto"/>
              <w:jc w:val="both"/>
              <w:rPr>
                <w:rFonts w:ascii="Times New Roman" w:hAnsi="Times New Roman" w:cs="Times New Roman"/>
                <w:szCs w:val="21"/>
              </w:rPr>
            </w:pPr>
            <w:r>
              <w:rPr>
                <w:rFonts w:ascii="Times New Roman" w:hAnsi="Times New Roman" w:cs="Times New Roman"/>
                <w:szCs w:val="21"/>
              </w:rPr>
              <w:t>类型</w:t>
            </w:r>
          </w:p>
        </w:tc>
        <w:tc>
          <w:tcPr>
            <w:tcW w:w="1053"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排放源</w:t>
            </w:r>
          </w:p>
        </w:tc>
        <w:tc>
          <w:tcPr>
            <w:tcW w:w="1703"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污染物</w:t>
            </w:r>
          </w:p>
          <w:p>
            <w:pPr>
              <w:pStyle w:val="12"/>
              <w:spacing w:line="240" w:lineRule="auto"/>
              <w:rPr>
                <w:rFonts w:ascii="Times New Roman" w:hAnsi="Times New Roman" w:cs="Times New Roman"/>
                <w:szCs w:val="21"/>
              </w:rPr>
            </w:pPr>
            <w:r>
              <w:rPr>
                <w:rFonts w:ascii="Times New Roman" w:hAnsi="Times New Roman" w:cs="Times New Roman"/>
                <w:szCs w:val="21"/>
              </w:rPr>
              <w:t>名称</w:t>
            </w:r>
          </w:p>
        </w:tc>
        <w:tc>
          <w:tcPr>
            <w:tcW w:w="3402"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防治措施</w:t>
            </w:r>
          </w:p>
        </w:tc>
        <w:tc>
          <w:tcPr>
            <w:tcW w:w="2010"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预期治理效果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58" w:type="dxa"/>
            <w:vMerge w:val="restart"/>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大气</w:t>
            </w:r>
          </w:p>
          <w:p>
            <w:pPr>
              <w:pStyle w:val="12"/>
              <w:spacing w:line="240" w:lineRule="auto"/>
              <w:rPr>
                <w:rFonts w:ascii="Times New Roman" w:hAnsi="Times New Roman" w:cs="Times New Roman"/>
                <w:szCs w:val="21"/>
              </w:rPr>
            </w:pPr>
            <w:r>
              <w:rPr>
                <w:rFonts w:ascii="Times New Roman" w:hAnsi="Times New Roman" w:cs="Times New Roman"/>
                <w:szCs w:val="21"/>
              </w:rPr>
              <w:t>污染物</w:t>
            </w:r>
          </w:p>
        </w:tc>
        <w:tc>
          <w:tcPr>
            <w:tcW w:w="1053" w:type="dxa"/>
            <w:tcMar>
              <w:top w:w="28" w:type="dxa"/>
              <w:left w:w="28" w:type="dxa"/>
              <w:bottom w:w="28" w:type="dxa"/>
              <w:right w:w="28" w:type="dxa"/>
            </w:tcMar>
            <w:vAlign w:val="center"/>
          </w:tcPr>
          <w:p>
            <w:pPr>
              <w:pStyle w:val="12"/>
              <w:spacing w:line="240" w:lineRule="auto"/>
              <w:rPr>
                <w:rFonts w:ascii="Times New Roman" w:hAnsi="Times New Roman" w:cs="Times New Roman"/>
                <w:kern w:val="0"/>
                <w:szCs w:val="21"/>
              </w:rPr>
            </w:pPr>
            <w:r>
              <w:rPr>
                <w:rFonts w:ascii="Times New Roman" w:hAnsi="Times New Roman" w:cs="Times New Roman"/>
                <w:kern w:val="0"/>
                <w:szCs w:val="21"/>
              </w:rPr>
              <w:t>投料工序</w:t>
            </w:r>
          </w:p>
        </w:tc>
        <w:tc>
          <w:tcPr>
            <w:tcW w:w="1703" w:type="dxa"/>
            <w:tcMar>
              <w:top w:w="28" w:type="dxa"/>
              <w:left w:w="28" w:type="dxa"/>
              <w:bottom w:w="28" w:type="dxa"/>
              <w:right w:w="28" w:type="dxa"/>
            </w:tcMar>
            <w:vAlign w:val="center"/>
          </w:tcPr>
          <w:p>
            <w:pPr>
              <w:pStyle w:val="12"/>
              <w:spacing w:line="240" w:lineRule="auto"/>
              <w:rPr>
                <w:rFonts w:ascii="Times New Roman" w:hAnsi="Times New Roman" w:cs="Times New Roman"/>
                <w:kern w:val="0"/>
                <w:szCs w:val="21"/>
              </w:rPr>
            </w:pPr>
            <w:r>
              <w:rPr>
                <w:rFonts w:ascii="Times New Roman" w:hAnsi="Times New Roman" w:cs="Times New Roman"/>
                <w:kern w:val="0"/>
                <w:szCs w:val="21"/>
              </w:rPr>
              <w:t>颗粒物</w:t>
            </w:r>
          </w:p>
        </w:tc>
        <w:tc>
          <w:tcPr>
            <w:tcW w:w="3402"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napToGrid w:val="0"/>
                <w:kern w:val="18"/>
                <w:szCs w:val="21"/>
              </w:rPr>
              <w:t>布袋除尘系统一套，</w:t>
            </w:r>
            <w:r>
              <w:rPr>
                <w:rFonts w:ascii="Times New Roman" w:hAnsi="Times New Roman" w:cs="Times New Roman"/>
                <w:szCs w:val="21"/>
              </w:rPr>
              <w:t>粉尘去除率99%</w:t>
            </w:r>
          </w:p>
        </w:tc>
        <w:tc>
          <w:tcPr>
            <w:tcW w:w="2010" w:type="dxa"/>
            <w:vMerge w:val="restart"/>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 xml:space="preserve">满足《电池工业污染物排放标准》(GB 30484-2013)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58"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szCs w:val="21"/>
              </w:rPr>
            </w:pPr>
          </w:p>
        </w:tc>
        <w:tc>
          <w:tcPr>
            <w:tcW w:w="1053" w:type="dxa"/>
            <w:tcMar>
              <w:top w:w="28" w:type="dxa"/>
              <w:left w:w="28" w:type="dxa"/>
              <w:bottom w:w="28" w:type="dxa"/>
              <w:right w:w="28" w:type="dxa"/>
            </w:tcMar>
            <w:vAlign w:val="center"/>
          </w:tcPr>
          <w:p>
            <w:pPr>
              <w:pStyle w:val="12"/>
              <w:spacing w:line="240" w:lineRule="auto"/>
              <w:rPr>
                <w:rFonts w:ascii="Times New Roman" w:hAnsi="Times New Roman" w:cs="Times New Roman"/>
                <w:kern w:val="0"/>
                <w:szCs w:val="21"/>
              </w:rPr>
            </w:pPr>
            <w:r>
              <w:rPr>
                <w:rFonts w:ascii="Times New Roman" w:hAnsi="Times New Roman" w:cs="Times New Roman"/>
                <w:kern w:val="0"/>
                <w:szCs w:val="21"/>
              </w:rPr>
              <w:t>涂布工序</w:t>
            </w:r>
          </w:p>
        </w:tc>
        <w:tc>
          <w:tcPr>
            <w:tcW w:w="1703" w:type="dxa"/>
            <w:tcMar>
              <w:top w:w="28" w:type="dxa"/>
              <w:left w:w="28" w:type="dxa"/>
              <w:bottom w:w="28" w:type="dxa"/>
              <w:right w:w="28" w:type="dxa"/>
            </w:tcMar>
            <w:vAlign w:val="center"/>
          </w:tcPr>
          <w:p>
            <w:pPr>
              <w:pStyle w:val="12"/>
              <w:spacing w:line="240" w:lineRule="auto"/>
              <w:rPr>
                <w:rFonts w:ascii="Times New Roman" w:hAnsi="Times New Roman" w:cs="Times New Roman"/>
                <w:kern w:val="0"/>
                <w:szCs w:val="21"/>
              </w:rPr>
            </w:pPr>
            <w:r>
              <w:rPr>
                <w:rFonts w:ascii="Times New Roman" w:hAnsi="Times New Roman" w:cs="Times New Roman"/>
                <w:kern w:val="0"/>
                <w:szCs w:val="21"/>
              </w:rPr>
              <w:t>非甲烷总烃</w:t>
            </w:r>
          </w:p>
        </w:tc>
        <w:tc>
          <w:tcPr>
            <w:tcW w:w="3402"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经NMP废气回收处理装置回收利用，仅有少量通过设备密封不严处无组织排放</w:t>
            </w:r>
          </w:p>
        </w:tc>
        <w:tc>
          <w:tcPr>
            <w:tcW w:w="2010"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58" w:type="dxa"/>
            <w:vMerge w:val="restart"/>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水</w:t>
            </w:r>
          </w:p>
          <w:p>
            <w:pPr>
              <w:pStyle w:val="12"/>
              <w:spacing w:line="240" w:lineRule="auto"/>
              <w:rPr>
                <w:rFonts w:ascii="Times New Roman" w:hAnsi="Times New Roman" w:cs="Times New Roman"/>
                <w:szCs w:val="21"/>
              </w:rPr>
            </w:pPr>
            <w:r>
              <w:rPr>
                <w:rFonts w:ascii="Times New Roman" w:hAnsi="Times New Roman" w:cs="Times New Roman"/>
                <w:szCs w:val="21"/>
              </w:rPr>
              <w:t>污染物</w:t>
            </w:r>
          </w:p>
        </w:tc>
        <w:tc>
          <w:tcPr>
            <w:tcW w:w="1053"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生产废水</w:t>
            </w:r>
          </w:p>
        </w:tc>
        <w:tc>
          <w:tcPr>
            <w:tcW w:w="1703" w:type="dxa"/>
            <w:tcMar>
              <w:top w:w="28" w:type="dxa"/>
              <w:left w:w="28" w:type="dxa"/>
              <w:bottom w:w="28" w:type="dxa"/>
              <w:right w:w="28" w:type="dxa"/>
            </w:tcMar>
            <w:vAlign w:val="center"/>
          </w:tcPr>
          <w:p>
            <w:pPr>
              <w:pStyle w:val="12"/>
              <w:spacing w:line="240" w:lineRule="auto"/>
              <w:rPr>
                <w:rFonts w:ascii="Times New Roman" w:hAnsi="Times New Roman" w:cs="Times New Roman"/>
                <w:kern w:val="0"/>
                <w:szCs w:val="21"/>
              </w:rPr>
            </w:pPr>
            <w:r>
              <w:rPr>
                <w:rFonts w:ascii="Times New Roman" w:hAnsi="Times New Roman" w:cs="Times New Roman"/>
                <w:kern w:val="0"/>
                <w:szCs w:val="21"/>
              </w:rPr>
              <w:t>COD、SS、石油类</w:t>
            </w:r>
          </w:p>
        </w:tc>
        <w:tc>
          <w:tcPr>
            <w:tcW w:w="3402" w:type="dxa"/>
            <w:tcMar>
              <w:top w:w="28" w:type="dxa"/>
              <w:left w:w="28" w:type="dxa"/>
              <w:bottom w:w="28" w:type="dxa"/>
              <w:right w:w="28" w:type="dxa"/>
            </w:tcMar>
            <w:vAlign w:val="center"/>
          </w:tcPr>
          <w:p>
            <w:pPr>
              <w:pStyle w:val="12"/>
              <w:spacing w:line="240" w:lineRule="auto"/>
              <w:rPr>
                <w:rFonts w:ascii="Times New Roman" w:hAnsi="Times New Roman" w:cs="Times New Roman"/>
                <w:kern w:val="0"/>
                <w:szCs w:val="21"/>
              </w:rPr>
            </w:pPr>
            <w:r>
              <w:rPr>
                <w:rFonts w:ascii="Times New Roman" w:hAnsi="Times New Roman" w:cs="Times New Roman"/>
                <w:kern w:val="0"/>
                <w:szCs w:val="21"/>
              </w:rPr>
              <w:t>生产废水经企业建设的污水处理系统预处理后与生活废水一同排入六合区污水处理厂</w:t>
            </w:r>
          </w:p>
        </w:tc>
        <w:tc>
          <w:tcPr>
            <w:tcW w:w="2010" w:type="dxa"/>
            <w:vMerge w:val="restart"/>
            <w:tcMar>
              <w:top w:w="28" w:type="dxa"/>
              <w:left w:w="28" w:type="dxa"/>
              <w:bottom w:w="28" w:type="dxa"/>
              <w:right w:w="28" w:type="dxa"/>
            </w:tcMar>
            <w:vAlign w:val="center"/>
          </w:tcPr>
          <w:p>
            <w:pPr>
              <w:pStyle w:val="12"/>
              <w:spacing w:line="240" w:lineRule="auto"/>
              <w:rPr>
                <w:rFonts w:ascii="Times New Roman" w:hAnsi="Times New Roman" w:cs="Times New Roman"/>
                <w:kern w:val="0"/>
                <w:szCs w:val="21"/>
              </w:rPr>
            </w:pPr>
            <w:r>
              <w:rPr>
                <w:rFonts w:ascii="Times New Roman" w:hAnsi="Times New Roman" w:cs="Times New Roman"/>
                <w:kern w:val="0"/>
                <w:szCs w:val="21"/>
              </w:rPr>
              <w:t>满足《污水排入城镇下水管道水质标准》（CJ343-2010）中 B等级标准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58"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szCs w:val="21"/>
              </w:rPr>
            </w:pPr>
          </w:p>
        </w:tc>
        <w:tc>
          <w:tcPr>
            <w:tcW w:w="1053"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生活废水</w:t>
            </w:r>
          </w:p>
        </w:tc>
        <w:tc>
          <w:tcPr>
            <w:tcW w:w="1703" w:type="dxa"/>
            <w:tcMar>
              <w:top w:w="28" w:type="dxa"/>
              <w:left w:w="28" w:type="dxa"/>
              <w:bottom w:w="28" w:type="dxa"/>
              <w:right w:w="28" w:type="dxa"/>
            </w:tcMar>
            <w:vAlign w:val="center"/>
          </w:tcPr>
          <w:p>
            <w:pPr>
              <w:pStyle w:val="12"/>
              <w:spacing w:line="240" w:lineRule="auto"/>
              <w:rPr>
                <w:rFonts w:ascii="Times New Roman" w:hAnsi="Times New Roman" w:cs="Times New Roman"/>
                <w:kern w:val="0"/>
                <w:szCs w:val="21"/>
              </w:rPr>
            </w:pPr>
            <w:r>
              <w:rPr>
                <w:rFonts w:ascii="Times New Roman" w:hAnsi="Times New Roman" w:cs="Times New Roman"/>
                <w:kern w:val="0"/>
                <w:szCs w:val="21"/>
              </w:rPr>
              <w:t>COD、SS、氨氮、TP</w:t>
            </w:r>
          </w:p>
        </w:tc>
        <w:tc>
          <w:tcPr>
            <w:tcW w:w="3402" w:type="dxa"/>
            <w:tcMar>
              <w:top w:w="28" w:type="dxa"/>
              <w:left w:w="28" w:type="dxa"/>
              <w:bottom w:w="28" w:type="dxa"/>
              <w:right w:w="28" w:type="dxa"/>
            </w:tcMar>
            <w:vAlign w:val="center"/>
          </w:tcPr>
          <w:p>
            <w:pPr>
              <w:pStyle w:val="12"/>
              <w:spacing w:line="240" w:lineRule="auto"/>
              <w:rPr>
                <w:rFonts w:ascii="Times New Roman" w:hAnsi="Times New Roman" w:cs="Times New Roman"/>
                <w:kern w:val="0"/>
                <w:szCs w:val="21"/>
              </w:rPr>
            </w:pPr>
            <w:r>
              <w:rPr>
                <w:rFonts w:ascii="Times New Roman" w:hAnsi="Times New Roman" w:cs="Times New Roman"/>
                <w:kern w:val="0"/>
                <w:szCs w:val="21"/>
              </w:rPr>
              <w:t>经化粪池预处理后与生产废水一同排入六合区污水处理厂</w:t>
            </w:r>
          </w:p>
        </w:tc>
        <w:tc>
          <w:tcPr>
            <w:tcW w:w="2010"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58" w:type="dxa"/>
            <w:vMerge w:val="restart"/>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固体</w:t>
            </w:r>
          </w:p>
          <w:p>
            <w:pPr>
              <w:pStyle w:val="12"/>
              <w:spacing w:line="240" w:lineRule="auto"/>
              <w:rPr>
                <w:rFonts w:ascii="Times New Roman" w:hAnsi="Times New Roman" w:cs="Times New Roman"/>
                <w:szCs w:val="21"/>
              </w:rPr>
            </w:pPr>
            <w:r>
              <w:rPr>
                <w:rFonts w:ascii="Times New Roman" w:hAnsi="Times New Roman" w:cs="Times New Roman"/>
                <w:szCs w:val="21"/>
              </w:rPr>
              <w:t>废物</w:t>
            </w:r>
          </w:p>
        </w:tc>
        <w:tc>
          <w:tcPr>
            <w:tcW w:w="1053" w:type="dxa"/>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r>
              <w:rPr>
                <w:rFonts w:ascii="Times New Roman" w:hAnsi="Times New Roman" w:cs="Times New Roman"/>
                <w:iCs/>
                <w:szCs w:val="21"/>
              </w:rPr>
              <w:t>一般固废</w:t>
            </w:r>
          </w:p>
        </w:tc>
        <w:tc>
          <w:tcPr>
            <w:tcW w:w="1703"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废铝箔、废铜箔、废隔膜、包装纸箱及包装袋</w:t>
            </w:r>
          </w:p>
        </w:tc>
        <w:tc>
          <w:tcPr>
            <w:tcW w:w="3402"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外售综合利用。</w:t>
            </w:r>
          </w:p>
        </w:tc>
        <w:tc>
          <w:tcPr>
            <w:tcW w:w="2010" w:type="dxa"/>
            <w:vMerge w:val="restart"/>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不外排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58"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szCs w:val="21"/>
              </w:rPr>
            </w:pPr>
          </w:p>
        </w:tc>
        <w:tc>
          <w:tcPr>
            <w:tcW w:w="1053" w:type="dxa"/>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r>
              <w:rPr>
                <w:rFonts w:ascii="Times New Roman" w:hAnsi="Times New Roman" w:cs="Times New Roman"/>
                <w:iCs/>
                <w:szCs w:val="21"/>
              </w:rPr>
              <w:t>危险固废</w:t>
            </w:r>
          </w:p>
        </w:tc>
        <w:tc>
          <w:tcPr>
            <w:tcW w:w="1703"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NMP废液、废包装桶袋</w:t>
            </w:r>
          </w:p>
        </w:tc>
        <w:tc>
          <w:tcPr>
            <w:tcW w:w="3402"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交由有危废处置资质的单位处理。</w:t>
            </w:r>
          </w:p>
        </w:tc>
        <w:tc>
          <w:tcPr>
            <w:tcW w:w="2010"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58"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szCs w:val="21"/>
              </w:rPr>
            </w:pPr>
          </w:p>
        </w:tc>
        <w:tc>
          <w:tcPr>
            <w:tcW w:w="1053" w:type="dxa"/>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r>
              <w:rPr>
                <w:rFonts w:ascii="Times New Roman" w:hAnsi="Times New Roman" w:cs="Times New Roman"/>
                <w:iCs/>
                <w:szCs w:val="21"/>
              </w:rPr>
              <w:t>生活垃圾</w:t>
            </w:r>
          </w:p>
        </w:tc>
        <w:tc>
          <w:tcPr>
            <w:tcW w:w="1703" w:type="dxa"/>
            <w:tcMar>
              <w:top w:w="28" w:type="dxa"/>
              <w:left w:w="28" w:type="dxa"/>
              <w:bottom w:w="28" w:type="dxa"/>
              <w:right w:w="28" w:type="dxa"/>
            </w:tcMar>
            <w:vAlign w:val="center"/>
          </w:tcPr>
          <w:p>
            <w:pPr>
              <w:spacing w:line="240" w:lineRule="auto"/>
              <w:ind w:firstLine="420"/>
              <w:rPr>
                <w:rFonts w:ascii="Times New Roman" w:hAnsi="Times New Roman" w:cs="Times New Roman"/>
                <w:sz w:val="21"/>
                <w:szCs w:val="21"/>
              </w:rPr>
            </w:pPr>
            <w:r>
              <w:rPr>
                <w:rFonts w:ascii="Times New Roman" w:hAnsi="Times New Roman" w:cs="Times New Roman"/>
                <w:sz w:val="21"/>
                <w:szCs w:val="21"/>
              </w:rPr>
              <w:t>——</w:t>
            </w:r>
          </w:p>
        </w:tc>
        <w:tc>
          <w:tcPr>
            <w:tcW w:w="3402"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委托环卫部门清运</w:t>
            </w:r>
          </w:p>
        </w:tc>
        <w:tc>
          <w:tcPr>
            <w:tcW w:w="2010" w:type="dxa"/>
            <w:vMerge w:val="continue"/>
            <w:tcMar>
              <w:top w:w="28" w:type="dxa"/>
              <w:left w:w="28" w:type="dxa"/>
              <w:bottom w:w="28" w:type="dxa"/>
              <w:right w:w="28" w:type="dxa"/>
            </w:tcMar>
            <w:vAlign w:val="center"/>
          </w:tcPr>
          <w:p>
            <w:pPr>
              <w:pStyle w:val="12"/>
              <w:spacing w:line="240" w:lineRule="auto"/>
              <w:rPr>
                <w:rFonts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58"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噪声</w:t>
            </w:r>
          </w:p>
        </w:tc>
        <w:tc>
          <w:tcPr>
            <w:tcW w:w="1053"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iCs/>
                <w:szCs w:val="21"/>
              </w:rPr>
              <w:t>生产设备、风机</w:t>
            </w:r>
          </w:p>
        </w:tc>
        <w:tc>
          <w:tcPr>
            <w:tcW w:w="5105" w:type="dxa"/>
            <w:gridSpan w:val="2"/>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iCs/>
                <w:szCs w:val="21"/>
              </w:rPr>
              <w:t>合理布局、减震垫、厂房隔声与距离衰减。</w:t>
            </w:r>
          </w:p>
        </w:tc>
        <w:tc>
          <w:tcPr>
            <w:tcW w:w="2010" w:type="dxa"/>
            <w:tcMar>
              <w:top w:w="28" w:type="dxa"/>
              <w:left w:w="28" w:type="dxa"/>
              <w:bottom w:w="28" w:type="dxa"/>
              <w:right w:w="28" w:type="dxa"/>
            </w:tcMar>
            <w:vAlign w:val="center"/>
          </w:tcPr>
          <w:p>
            <w:pPr>
              <w:autoSpaceDE w:val="0"/>
              <w:autoSpaceDN w:val="0"/>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iCs/>
                <w:sz w:val="21"/>
                <w:szCs w:val="21"/>
              </w:rPr>
              <w:t>满足《工业企业厂界环境噪声排放标准》（GB12348-2008）2类标准要求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58" w:type="dxa"/>
            <w:tcMar>
              <w:top w:w="28" w:type="dxa"/>
              <w:left w:w="28" w:type="dxa"/>
              <w:bottom w:w="28" w:type="dxa"/>
              <w:right w:w="28" w:type="dxa"/>
            </w:tcMar>
            <w:vAlign w:val="center"/>
          </w:tcPr>
          <w:p>
            <w:pPr>
              <w:pStyle w:val="12"/>
              <w:spacing w:line="240" w:lineRule="auto"/>
              <w:rPr>
                <w:rFonts w:ascii="Times New Roman" w:hAnsi="Times New Roman" w:cs="Times New Roman"/>
                <w:szCs w:val="21"/>
              </w:rPr>
            </w:pPr>
            <w:r>
              <w:rPr>
                <w:rFonts w:ascii="Times New Roman" w:hAnsi="Times New Roman" w:cs="Times New Roman"/>
                <w:szCs w:val="21"/>
              </w:rPr>
              <w:t>其他</w:t>
            </w:r>
          </w:p>
        </w:tc>
        <w:tc>
          <w:tcPr>
            <w:tcW w:w="8168" w:type="dxa"/>
            <w:gridSpan w:val="4"/>
            <w:tcMar>
              <w:top w:w="28" w:type="dxa"/>
              <w:left w:w="28" w:type="dxa"/>
              <w:bottom w:w="28" w:type="dxa"/>
              <w:right w:w="28" w:type="dxa"/>
            </w:tcMar>
            <w:vAlign w:val="center"/>
          </w:tcPr>
          <w:p>
            <w:pPr>
              <w:pStyle w:val="12"/>
              <w:spacing w:line="240" w:lineRule="auto"/>
              <w:rPr>
                <w:rFonts w:ascii="Times New Roman" w:hAnsi="Times New Roman" w:cs="Times New Roman"/>
                <w:iCs/>
                <w:szCs w:val="21"/>
              </w:rPr>
            </w:pPr>
            <w:r>
              <w:rPr>
                <w:rFonts w:ascii="Times New Roman" w:hAnsi="Times New Roman" w:cs="Times New Roman"/>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05" w:hRule="atLeast"/>
          <w:jc w:val="center"/>
        </w:trPr>
        <w:tc>
          <w:tcPr>
            <w:tcW w:w="9126" w:type="dxa"/>
            <w:gridSpan w:val="5"/>
          </w:tcPr>
          <w:p>
            <w:pPr>
              <w:spacing w:before="60" w:beforeLines="25" w:after="60" w:afterLines="25" w:line="240" w:lineRule="auto"/>
              <w:ind w:firstLine="0" w:firstLineChars="0"/>
              <w:rPr>
                <w:rFonts w:ascii="Times New Roman" w:hAnsi="Times New Roman" w:cs="Times New Roman"/>
                <w:b/>
              </w:rPr>
            </w:pPr>
            <w:r>
              <w:rPr>
                <w:rFonts w:ascii="Times New Roman" w:hAnsi="Times New Roman" w:cs="Times New Roman"/>
                <w:b/>
              </w:rPr>
              <w:t>生态保护措施及预期效果:</w:t>
            </w:r>
          </w:p>
          <w:p>
            <w:pPr>
              <w:autoSpaceDE w:val="0"/>
              <w:autoSpaceDN w:val="0"/>
              <w:adjustRightInd w:val="0"/>
              <w:snapToGrid w:val="0"/>
              <w:spacing w:line="440" w:lineRule="exact"/>
              <w:ind w:firstLine="512"/>
              <w:rPr>
                <w:rFonts w:ascii="Times New Roman" w:hAnsi="Times New Roman" w:cs="Times New Roman"/>
                <w:bCs/>
                <w:spacing w:val="8"/>
                <w:szCs w:val="24"/>
              </w:rPr>
            </w:pPr>
            <w:r>
              <w:rPr>
                <w:rFonts w:ascii="Times New Roman" w:hAnsi="Times New Roman" w:cs="Times New Roman"/>
                <w:bCs/>
                <w:spacing w:val="8"/>
                <w:szCs w:val="24"/>
              </w:rPr>
              <w:t>运营期废气、废水、固废及噪声等均采取合理的污染防治措施，对区域生态环境不会产生明显影响，本项目不需要采取单独的生态防护措施。落实绿化指标，保护、管理好项目的各种植物，本项目采取污染防治措施后，不会对周围生态环境产生不利的影响。</w:t>
            </w:r>
          </w:p>
          <w:p>
            <w:pPr>
              <w:spacing w:line="440" w:lineRule="exact"/>
              <w:ind w:firstLine="0" w:firstLineChars="0"/>
              <w:rPr>
                <w:rFonts w:ascii="Times New Roman" w:hAnsi="Times New Roman" w:cs="Times New Roman"/>
                <w:sz w:val="21"/>
                <w:szCs w:val="21"/>
              </w:rPr>
            </w:pPr>
          </w:p>
          <w:p>
            <w:pPr>
              <w:spacing w:line="440" w:lineRule="exact"/>
              <w:ind w:firstLine="0" w:firstLineChars="0"/>
              <w:rPr>
                <w:rFonts w:ascii="Times New Roman" w:hAnsi="Times New Roman" w:cs="Times New Roman"/>
                <w:sz w:val="21"/>
                <w:szCs w:val="21"/>
              </w:rPr>
            </w:pPr>
          </w:p>
          <w:p>
            <w:pPr>
              <w:spacing w:line="440" w:lineRule="exact"/>
              <w:ind w:firstLine="0" w:firstLineChars="0"/>
              <w:rPr>
                <w:rFonts w:ascii="Times New Roman" w:hAnsi="Times New Roman" w:cs="Times New Roman"/>
                <w:sz w:val="21"/>
                <w:szCs w:val="21"/>
              </w:rPr>
            </w:pPr>
          </w:p>
          <w:p>
            <w:pPr>
              <w:spacing w:line="440" w:lineRule="exact"/>
              <w:ind w:firstLine="0" w:firstLineChars="0"/>
              <w:rPr>
                <w:rFonts w:ascii="Times New Roman" w:hAnsi="Times New Roman" w:cs="Times New Roman"/>
                <w:sz w:val="21"/>
                <w:szCs w:val="21"/>
              </w:rPr>
            </w:pPr>
          </w:p>
          <w:p>
            <w:pPr>
              <w:spacing w:line="440" w:lineRule="exact"/>
              <w:ind w:firstLine="0" w:firstLineChars="0"/>
              <w:rPr>
                <w:rFonts w:ascii="Times New Roman" w:hAnsi="Times New Roman" w:cs="Times New Roman"/>
                <w:sz w:val="21"/>
                <w:szCs w:val="21"/>
              </w:rPr>
            </w:pPr>
          </w:p>
          <w:p>
            <w:pPr>
              <w:spacing w:line="440" w:lineRule="exact"/>
              <w:ind w:firstLine="0" w:firstLineChars="0"/>
              <w:rPr>
                <w:rFonts w:ascii="Times New Roman" w:hAnsi="Times New Roman" w:cs="Times New Roman"/>
                <w:sz w:val="21"/>
                <w:szCs w:val="21"/>
              </w:rPr>
            </w:pPr>
          </w:p>
          <w:p>
            <w:pPr>
              <w:spacing w:line="440" w:lineRule="exact"/>
              <w:ind w:firstLine="0" w:firstLineChars="0"/>
              <w:rPr>
                <w:rFonts w:ascii="Times New Roman" w:hAnsi="Times New Roman" w:cs="Times New Roman"/>
                <w:sz w:val="21"/>
                <w:szCs w:val="21"/>
              </w:rPr>
            </w:pPr>
          </w:p>
          <w:p>
            <w:pPr>
              <w:spacing w:line="440" w:lineRule="exact"/>
              <w:ind w:firstLine="0" w:firstLineChars="0"/>
              <w:rPr>
                <w:rFonts w:ascii="Times New Roman" w:hAnsi="Times New Roman" w:cs="Times New Roman"/>
                <w:sz w:val="21"/>
                <w:szCs w:val="21"/>
              </w:rPr>
            </w:pPr>
          </w:p>
          <w:p>
            <w:pPr>
              <w:spacing w:line="440" w:lineRule="exact"/>
              <w:ind w:firstLine="0" w:firstLineChars="0"/>
              <w:rPr>
                <w:rFonts w:ascii="Times New Roman" w:hAnsi="Times New Roman" w:cs="Times New Roman"/>
                <w:sz w:val="21"/>
                <w:szCs w:val="21"/>
              </w:rPr>
            </w:pPr>
          </w:p>
        </w:tc>
      </w:tr>
    </w:tbl>
    <w:p>
      <w:pPr>
        <w:pStyle w:val="2"/>
        <w:jc w:val="left"/>
        <w:rPr>
          <w:rFonts w:ascii="Times New Roman" w:hAnsi="Times New Roman" w:cs="Times New Roman"/>
        </w:rPr>
      </w:pPr>
      <w:r>
        <w:rPr>
          <w:rFonts w:ascii="Times New Roman" w:hAnsi="Times New Roman" w:cs="Times New Roman"/>
        </w:rPr>
        <w:t>结论与建议</w:t>
      </w:r>
    </w:p>
    <w:tbl>
      <w:tblPr>
        <w:tblStyle w:val="11"/>
        <w:tblW w:w="898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98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3289" w:hRule="atLeast"/>
          <w:jc w:val="center"/>
        </w:trPr>
        <w:tc>
          <w:tcPr>
            <w:tcW w:w="8989" w:type="dxa"/>
          </w:tcPr>
          <w:p>
            <w:pPr>
              <w:spacing w:before="60" w:beforeLines="25" w:after="60" w:afterLines="25" w:line="240" w:lineRule="auto"/>
              <w:ind w:firstLine="0" w:firstLineChars="0"/>
              <w:rPr>
                <w:rFonts w:ascii="Times New Roman" w:hAnsi="Times New Roman" w:cs="Times New Roman"/>
                <w:b/>
              </w:rPr>
            </w:pPr>
            <w:r>
              <w:rPr>
                <w:rFonts w:ascii="Times New Roman" w:hAnsi="Times New Roman" w:cs="Times New Roman"/>
                <w:b/>
              </w:rPr>
              <w:t>1、结论</w:t>
            </w:r>
          </w:p>
          <w:p>
            <w:pPr>
              <w:spacing w:line="440" w:lineRule="exact"/>
              <w:ind w:firstLine="480"/>
              <w:rPr>
                <w:rFonts w:ascii="Times New Roman" w:hAnsi="Times New Roman" w:cs="Times New Roman"/>
              </w:rPr>
            </w:pPr>
            <w:r>
              <w:rPr>
                <w:rFonts w:ascii="Times New Roman" w:hAnsi="Times New Roman" w:cs="Times New Roman"/>
              </w:rPr>
              <w:t>（1）项目概况</w:t>
            </w:r>
          </w:p>
          <w:p>
            <w:pPr>
              <w:spacing w:line="440" w:lineRule="exact"/>
              <w:ind w:firstLine="480"/>
              <w:rPr>
                <w:rFonts w:ascii="Times New Roman" w:hAnsi="Times New Roman" w:cs="Times New Roman"/>
              </w:rPr>
            </w:pPr>
            <w:r>
              <w:rPr>
                <w:rFonts w:ascii="Times New Roman" w:hAnsi="Times New Roman" w:cs="Times New Roman"/>
                <w:bCs/>
                <w:szCs w:val="24"/>
              </w:rPr>
              <w:t>项目建设地点为南京六合区，</w:t>
            </w:r>
            <w:r>
              <w:rPr>
                <w:rFonts w:ascii="Times New Roman" w:hAnsi="Times New Roman" w:cs="Times New Roman"/>
              </w:rPr>
              <w:t>占地207亩，总投资60亿，新建年产5GWh动力电池系统生产线及配套项目。</w:t>
            </w:r>
          </w:p>
          <w:p>
            <w:pPr>
              <w:spacing w:line="440" w:lineRule="exact"/>
              <w:ind w:firstLine="480"/>
              <w:rPr>
                <w:rFonts w:ascii="Times New Roman" w:hAnsi="Times New Roman" w:cs="Times New Roman"/>
              </w:rPr>
            </w:pPr>
            <w:r>
              <w:rPr>
                <w:rFonts w:ascii="Times New Roman" w:hAnsi="Times New Roman" w:cs="Times New Roman"/>
              </w:rPr>
              <w:t>（2）产业政策相符性</w:t>
            </w:r>
          </w:p>
          <w:p>
            <w:pPr>
              <w:spacing w:line="440" w:lineRule="exact"/>
              <w:ind w:firstLine="480"/>
              <w:rPr>
                <w:rFonts w:ascii="Times New Roman" w:hAnsi="Times New Roman" w:cs="Times New Roman"/>
              </w:rPr>
            </w:pPr>
            <w:r>
              <w:rPr>
                <w:rFonts w:ascii="Times New Roman" w:hAnsi="Times New Roman" w:cs="Times New Roman"/>
              </w:rPr>
              <w:t>项目为</w:t>
            </w:r>
            <w:r>
              <w:rPr>
                <w:rFonts w:ascii="Times New Roman" w:hAnsi="Times New Roman" w:cs="Times New Roman"/>
                <w:bCs/>
              </w:rPr>
              <w:t>锂离子电池制造</w:t>
            </w:r>
            <w:r>
              <w:rPr>
                <w:rFonts w:ascii="Times New Roman" w:hAnsi="Times New Roman" w:cs="Times New Roman"/>
              </w:rPr>
              <w:t>，属于《产业结构调整指导目录（2011年本，2013年修正）》、《江苏省工业和信息产业结构调整指导目录（2012年本，2013年修正）》鼓励类项目，符合国家及地方产业政策。</w:t>
            </w:r>
          </w:p>
          <w:p>
            <w:pPr>
              <w:spacing w:line="440" w:lineRule="exact"/>
              <w:ind w:firstLine="480"/>
              <w:rPr>
                <w:rFonts w:ascii="Times New Roman" w:hAnsi="Times New Roman" w:cs="Times New Roman"/>
              </w:rPr>
            </w:pPr>
            <w:r>
              <w:rPr>
                <w:rFonts w:ascii="Times New Roman" w:hAnsi="Times New Roman" w:cs="Times New Roman"/>
              </w:rPr>
              <w:t>（3）用地规划相符性</w:t>
            </w:r>
          </w:p>
          <w:p>
            <w:pPr>
              <w:spacing w:line="440" w:lineRule="exact"/>
              <w:ind w:firstLine="480"/>
              <w:rPr>
                <w:rFonts w:ascii="Times New Roman" w:hAnsi="Times New Roman" w:cs="Times New Roman"/>
              </w:rPr>
            </w:pPr>
            <w:r>
              <w:rPr>
                <w:rFonts w:ascii="Times New Roman" w:hAnsi="Times New Roman" w:cs="Times New Roman"/>
                <w:bCs/>
              </w:rPr>
              <w:t>项目位于南京六合区六新路以北，龙须湖路以东，新港湾路以西，虎跃西路以南。</w:t>
            </w:r>
            <w:r>
              <w:rPr>
                <w:rFonts w:ascii="Times New Roman" w:hAnsi="Times New Roman" w:cs="Times New Roman"/>
              </w:rPr>
              <w:t>根据《南京江北新区总体规划》（2014-2030），项目所在地为一类工业用地，项目建设内容为5GWh动力电池系统生产线及配套建设项目，选址符合规划要求。</w:t>
            </w:r>
          </w:p>
          <w:p>
            <w:pPr>
              <w:spacing w:line="440" w:lineRule="exact"/>
              <w:ind w:firstLine="480"/>
              <w:rPr>
                <w:rFonts w:ascii="Times New Roman" w:hAnsi="Times New Roman" w:cs="Times New Roman"/>
              </w:rPr>
            </w:pPr>
            <w:r>
              <w:rPr>
                <w:rFonts w:ascii="Times New Roman" w:hAnsi="Times New Roman" w:cs="Times New Roman"/>
              </w:rPr>
              <w:t>（4）与“三线一单”相符性分析</w:t>
            </w:r>
          </w:p>
          <w:p>
            <w:pPr>
              <w:spacing w:line="440" w:lineRule="exact"/>
              <w:ind w:firstLine="480"/>
              <w:jc w:val="left"/>
              <w:rPr>
                <w:rFonts w:ascii="Times New Roman" w:hAnsi="Times New Roman" w:cs="Times New Roman"/>
              </w:rPr>
            </w:pPr>
            <w:r>
              <w:rPr>
                <w:rFonts w:ascii="Times New Roman" w:hAnsi="Times New Roman" w:cs="Times New Roman"/>
                <w:szCs w:val="24"/>
              </w:rPr>
              <w:t>生态红线：根据《南京市生态红线区域保护规划》（宁政发[2014]74号）</w:t>
            </w:r>
            <w:r>
              <w:rPr>
                <w:rFonts w:ascii="Times New Roman" w:hAnsi="Times New Roman" w:cs="Times New Roman"/>
              </w:rPr>
              <w:t>，距离项目最近的红线区域为项目东南侧2200m处的城市生态公益林，本项目不在其红线区域保护范围内，符合《南京市生态红线区域保护规划》要求。</w:t>
            </w:r>
          </w:p>
          <w:p>
            <w:pPr>
              <w:spacing w:line="440" w:lineRule="exact"/>
              <w:ind w:firstLine="480"/>
              <w:jc w:val="left"/>
              <w:rPr>
                <w:rFonts w:ascii="Times New Roman" w:hAnsi="Times New Roman" w:cs="Times New Roman"/>
              </w:rPr>
            </w:pPr>
            <w:r>
              <w:rPr>
                <w:rFonts w:ascii="Times New Roman" w:hAnsi="Times New Roman" w:cs="Times New Roman"/>
              </w:rPr>
              <w:t>环境质量底线：项目所在地大气、水、声环境质量良好。项目运营期产生的废气、废水均得到合理处理，能够达标排放，并且污染物的排放量较少，不会突破当地的环境质量底线。</w:t>
            </w:r>
          </w:p>
          <w:p>
            <w:pPr>
              <w:spacing w:line="440" w:lineRule="exact"/>
              <w:ind w:firstLine="480"/>
              <w:jc w:val="left"/>
              <w:rPr>
                <w:rFonts w:ascii="Times New Roman" w:hAnsi="Times New Roman" w:cs="Times New Roman"/>
              </w:rPr>
            </w:pPr>
            <w:r>
              <w:rPr>
                <w:rFonts w:ascii="Times New Roman" w:hAnsi="Times New Roman" w:cs="Times New Roman"/>
              </w:rPr>
              <w:t>资源利用上线：项目运营期间会消耗一定的水、电，项目采用节能措施，综合能耗符合国家标准要求，不会突破当地的水、电资源利用上线。</w:t>
            </w:r>
          </w:p>
          <w:p>
            <w:pPr>
              <w:spacing w:line="440" w:lineRule="exact"/>
              <w:ind w:firstLine="480"/>
              <w:jc w:val="left"/>
              <w:rPr>
                <w:rFonts w:ascii="Times New Roman" w:hAnsi="Times New Roman" w:cs="Times New Roman"/>
                <w:bCs/>
              </w:rPr>
            </w:pPr>
            <w:r>
              <w:rPr>
                <w:rFonts w:ascii="Times New Roman" w:hAnsi="Times New Roman" w:cs="Times New Roman"/>
              </w:rPr>
              <w:t>环境准入负面清单：项目为</w:t>
            </w:r>
            <w:r>
              <w:rPr>
                <w:rFonts w:ascii="Times New Roman" w:hAnsi="Times New Roman" w:cs="Times New Roman"/>
                <w:bCs/>
              </w:rPr>
              <w:t>锂离子电池制造，符合《南京市建设项目环境准入暂行规定》（宁政发【2015】251号）有关要求。</w:t>
            </w:r>
          </w:p>
          <w:p>
            <w:pPr>
              <w:spacing w:line="440" w:lineRule="exact"/>
              <w:ind w:firstLine="480"/>
              <w:jc w:val="left"/>
              <w:rPr>
                <w:rFonts w:ascii="Times New Roman" w:hAnsi="Times New Roman" w:cs="Times New Roman"/>
                <w:bCs/>
              </w:rPr>
            </w:pPr>
            <w:r>
              <w:rPr>
                <w:rFonts w:ascii="Times New Roman" w:hAnsi="Times New Roman" w:cs="Times New Roman"/>
                <w:bCs/>
              </w:rPr>
              <w:t>（5）环境质量现状</w:t>
            </w:r>
          </w:p>
          <w:p>
            <w:pPr>
              <w:spacing w:line="440" w:lineRule="exact"/>
              <w:ind w:firstLine="480"/>
              <w:jc w:val="left"/>
              <w:rPr>
                <w:rFonts w:ascii="Times New Roman" w:hAnsi="Times New Roman" w:cs="Times New Roman"/>
                <w:bCs/>
              </w:rPr>
            </w:pPr>
            <w:r>
              <w:rPr>
                <w:rFonts w:ascii="Times New Roman" w:hAnsi="Times New Roman" w:cs="Times New Roman"/>
                <w:bCs/>
              </w:rPr>
              <w:t>项目所在地环境空气质量符合《环境空气质量标准》（GB3095-2012）二级标准、噪声分别达到《声环境质量标准》（GB3096-2008）2类标准、滁河各监测断面达到《地表水环境质量》（GB3838-2002）Ⅳ类水质标准限值，区域环境质量现状较好。</w:t>
            </w:r>
          </w:p>
          <w:p>
            <w:pPr>
              <w:spacing w:line="440" w:lineRule="exact"/>
              <w:ind w:firstLine="480"/>
              <w:jc w:val="left"/>
              <w:rPr>
                <w:rFonts w:ascii="Times New Roman" w:hAnsi="Times New Roman" w:cs="Times New Roman"/>
                <w:bCs/>
              </w:rPr>
            </w:pPr>
            <w:r>
              <w:rPr>
                <w:rFonts w:ascii="Times New Roman" w:hAnsi="Times New Roman" w:cs="Times New Roman"/>
                <w:bCs/>
              </w:rPr>
              <w:t>（6）污染物排放及环境影响</w:t>
            </w:r>
          </w:p>
          <w:p>
            <w:pPr>
              <w:spacing w:line="440" w:lineRule="exact"/>
              <w:ind w:firstLine="480"/>
              <w:jc w:val="left"/>
              <w:rPr>
                <w:rFonts w:ascii="Times New Roman" w:hAnsi="Times New Roman" w:cs="Times New Roman"/>
              </w:rPr>
            </w:pPr>
            <w:r>
              <w:rPr>
                <w:rFonts w:ascii="Times New Roman" w:hAnsi="Times New Roman" w:cs="Times New Roman"/>
                <w:bCs/>
              </w:rPr>
              <w:t>建设项目大气污染物主要为粉尘、NMP</w:t>
            </w:r>
            <w:r>
              <w:rPr>
                <w:rFonts w:ascii="Times New Roman" w:hAnsi="Times New Roman" w:cs="Times New Roman"/>
              </w:rPr>
              <w:t>废气。投料工序粉尘经布袋除尘系统收集后无组织排放，满足《电池工业污染物排放标准》(GB30484-2013)，对区域大气环境影响较小；NMP废气经NMP回收装置处理，处理装置为密闭，</w:t>
            </w:r>
            <w:r>
              <w:rPr>
                <w:rFonts w:ascii="Times New Roman" w:hAnsi="Times New Roman" w:cs="Times New Roman"/>
                <w:szCs w:val="24"/>
              </w:rPr>
              <w:t>仅有少量无组织排放</w:t>
            </w:r>
            <w:r>
              <w:rPr>
                <w:rFonts w:ascii="Times New Roman" w:hAnsi="Times New Roman" w:cs="Times New Roman"/>
              </w:rPr>
              <w:t>，对周围环境影响较小。</w:t>
            </w:r>
          </w:p>
          <w:p>
            <w:pPr>
              <w:autoSpaceDE w:val="0"/>
              <w:autoSpaceDN w:val="0"/>
              <w:adjustRightInd w:val="0"/>
              <w:snapToGrid w:val="0"/>
              <w:spacing w:line="440" w:lineRule="exact"/>
              <w:ind w:firstLine="512" w:firstLineChars="0"/>
              <w:rPr>
                <w:rFonts w:ascii="Times New Roman" w:hAnsi="Times New Roman" w:cs="Times New Roman"/>
                <w:bCs/>
                <w:spacing w:val="8"/>
                <w:szCs w:val="24"/>
              </w:rPr>
            </w:pPr>
            <w:r>
              <w:rPr>
                <w:rFonts w:ascii="Times New Roman" w:hAnsi="Times New Roman" w:cs="Times New Roman"/>
                <w:szCs w:val="24"/>
              </w:rPr>
              <w:t>建设项目产生的废水主要有电池清洗废水、地面冲洗废水、纯水制备浓水、循环冷却系统尾水以及生活污水等。其中纯水制备浓水和循环冷却系统尾水通过清下水排放，电池清洗废水、地面冲洗废水</w:t>
            </w:r>
            <w:r>
              <w:rPr>
                <w:rFonts w:ascii="Times New Roman" w:hAnsi="Times New Roman" w:cs="Times New Roman"/>
                <w:iCs/>
                <w:szCs w:val="24"/>
              </w:rPr>
              <w:t>经企业建设的污水处理系统预处理，生活污水经化粪池预处理后与生产废水一同排入六合区污水处理厂</w:t>
            </w:r>
            <w:r>
              <w:rPr>
                <w:rFonts w:ascii="Times New Roman" w:hAnsi="Times New Roman" w:cs="Times New Roman"/>
              </w:rPr>
              <w:t>，</w:t>
            </w:r>
            <w:r>
              <w:rPr>
                <w:rFonts w:ascii="Times New Roman" w:hAnsi="Times New Roman" w:cs="Times New Roman"/>
                <w:bCs/>
                <w:spacing w:val="8"/>
                <w:szCs w:val="24"/>
              </w:rPr>
              <w:t>污水处理厂接管执</w:t>
            </w:r>
            <w:r>
              <w:rPr>
                <w:rFonts w:ascii="Times New Roman" w:hAnsi="Times New Roman" w:cs="Times New Roman"/>
                <w:spacing w:val="-3"/>
                <w:w w:val="105"/>
              </w:rPr>
              <w:t>行《污水排入城镇下水管道水质标准》（CJ343-2010）</w:t>
            </w:r>
            <w:r>
              <w:rPr>
                <w:rFonts w:ascii="Times New Roman" w:hAnsi="Times New Roman" w:cs="Times New Roman"/>
                <w:spacing w:val="-97"/>
                <w:w w:val="105"/>
              </w:rPr>
              <w:t xml:space="preserve"> </w:t>
            </w:r>
            <w:r>
              <w:rPr>
                <w:rFonts w:ascii="Times New Roman" w:hAnsi="Times New Roman" w:cs="Times New Roman"/>
                <w:w w:val="105"/>
              </w:rPr>
              <w:t>B等级标准，污水处理厂尾水排放标准执行（GB18918-200</w:t>
            </w:r>
            <w:r>
              <w:rPr>
                <w:rFonts w:ascii="Times New Roman" w:hAnsi="Times New Roman" w:cs="Times New Roman"/>
                <w:bCs/>
                <w:spacing w:val="8"/>
                <w:szCs w:val="24"/>
              </w:rPr>
              <w:t>2）一级A标准要求。</w:t>
            </w:r>
          </w:p>
          <w:p>
            <w:pPr>
              <w:spacing w:line="440" w:lineRule="exact"/>
              <w:ind w:firstLine="480"/>
              <w:rPr>
                <w:rFonts w:ascii="Times New Roman" w:hAnsi="Times New Roman" w:cs="Times New Roman"/>
              </w:rPr>
            </w:pPr>
            <w:r>
              <w:rPr>
                <w:rFonts w:ascii="Times New Roman" w:hAnsi="Times New Roman" w:cs="Times New Roman"/>
              </w:rPr>
              <w:t>项目产生的噪声经减振、隔声和距离衰减后，厂界噪声满足《工业企业厂界噪声标准》（GB12348-2008）3类标准要求，对区域环境影响较小。</w:t>
            </w:r>
          </w:p>
          <w:p>
            <w:pPr>
              <w:spacing w:line="440" w:lineRule="exact"/>
              <w:ind w:firstLine="480"/>
              <w:rPr>
                <w:rFonts w:ascii="Times New Roman" w:hAnsi="Times New Roman" w:cs="Times New Roman"/>
              </w:rPr>
            </w:pPr>
            <w:r>
              <w:rPr>
                <w:rFonts w:ascii="Times New Roman" w:hAnsi="Times New Roman" w:cs="Times New Roman"/>
              </w:rPr>
              <w:t>建设项目产生的各类固体废物均可得到妥善处置，不会产生二次污染，对周围环境影响较小。</w:t>
            </w:r>
          </w:p>
          <w:p>
            <w:pPr>
              <w:spacing w:line="440" w:lineRule="exact"/>
              <w:ind w:firstLine="480"/>
              <w:rPr>
                <w:rFonts w:ascii="Times New Roman" w:hAnsi="Times New Roman" w:cs="Times New Roman"/>
              </w:rPr>
            </w:pPr>
            <w:r>
              <w:rPr>
                <w:rFonts w:ascii="Times New Roman" w:hAnsi="Times New Roman" w:cs="Times New Roman"/>
              </w:rPr>
              <w:t>（7）环境风险分析</w:t>
            </w:r>
          </w:p>
          <w:p>
            <w:pPr>
              <w:spacing w:line="440" w:lineRule="exact"/>
              <w:ind w:firstLine="480"/>
              <w:rPr>
                <w:rFonts w:ascii="Times New Roman" w:hAnsi="Times New Roman" w:cs="Times New Roman"/>
              </w:rPr>
            </w:pPr>
            <w:r>
              <w:rPr>
                <w:rFonts w:ascii="Times New Roman" w:hAnsi="Times New Roman" w:cs="Times New Roman"/>
              </w:rPr>
              <w:t>根据风险分析结果，本项目风险类型为泄漏、火灾、尾气事故排放。发生尾气事故排放情况时在最不利气象条件下，其影响的区域主要是在厂区范围内，对外环境影响较小。</w:t>
            </w:r>
          </w:p>
          <w:p>
            <w:pPr>
              <w:spacing w:line="440" w:lineRule="exact"/>
              <w:ind w:firstLine="480"/>
              <w:rPr>
                <w:rFonts w:ascii="Times New Roman" w:hAnsi="Times New Roman" w:cs="Times New Roman"/>
              </w:rPr>
            </w:pPr>
            <w:r>
              <w:rPr>
                <w:rFonts w:ascii="Times New Roman" w:hAnsi="Times New Roman" w:cs="Times New Roman"/>
              </w:rPr>
              <w:t>（8）总量控制</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大气污染物申请总量指标：非甲烷总烃4.63t/a、颗粒物0.013t/a。</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废水接管量为15808m</w:t>
            </w:r>
            <w:r>
              <w:rPr>
                <w:rFonts w:ascii="Times New Roman" w:hAnsi="Times New Roman" w:cs="Times New Roman"/>
                <w:szCs w:val="24"/>
                <w:vertAlign w:val="superscript"/>
              </w:rPr>
              <w:t>3</w:t>
            </w:r>
            <w:r>
              <w:rPr>
                <w:rFonts w:ascii="Times New Roman" w:hAnsi="Times New Roman" w:cs="Times New Roman"/>
                <w:szCs w:val="24"/>
              </w:rPr>
              <w:t>/a、COD</w:t>
            </w:r>
            <w:r>
              <w:rPr>
                <w:rFonts w:hint="eastAsia" w:ascii="Times New Roman" w:hAnsi="Times New Roman" w:cs="Times New Roman"/>
                <w:szCs w:val="24"/>
              </w:rPr>
              <w:t>5.252</w:t>
            </w:r>
            <w:r>
              <w:rPr>
                <w:rFonts w:ascii="Times New Roman" w:hAnsi="Times New Roman" w:cs="Times New Roman"/>
                <w:szCs w:val="24"/>
              </w:rPr>
              <w:t>t/a、</w:t>
            </w:r>
            <w:r>
              <w:rPr>
                <w:rFonts w:ascii="Times New Roman" w:hAnsi="Times New Roman" w:cs="Times New Roman"/>
                <w:position w:val="2"/>
                <w:szCs w:val="21"/>
              </w:rPr>
              <w:t>NH</w:t>
            </w:r>
            <w:r>
              <w:rPr>
                <w:rFonts w:ascii="Times New Roman" w:hAnsi="Times New Roman" w:cs="Times New Roman"/>
                <w:sz w:val="13"/>
                <w:szCs w:val="13"/>
              </w:rPr>
              <w:t>3</w:t>
            </w:r>
            <w:r>
              <w:rPr>
                <w:rFonts w:ascii="Times New Roman" w:hAnsi="Times New Roman" w:cs="Times New Roman"/>
                <w:position w:val="2"/>
                <w:szCs w:val="21"/>
              </w:rPr>
              <w:t>-N</w:t>
            </w:r>
            <w:r>
              <w:rPr>
                <w:rFonts w:ascii="Times New Roman" w:hAnsi="Times New Roman" w:cs="Times New Roman"/>
                <w:szCs w:val="24"/>
              </w:rPr>
              <w:t>0.38t/a。</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项目废水申请总量为COD0.79t、</w:t>
            </w:r>
            <w:r>
              <w:rPr>
                <w:rFonts w:ascii="Times New Roman" w:hAnsi="Times New Roman" w:cs="Times New Roman"/>
                <w:position w:val="2"/>
                <w:szCs w:val="21"/>
              </w:rPr>
              <w:t>NH</w:t>
            </w:r>
            <w:r>
              <w:rPr>
                <w:rFonts w:ascii="Times New Roman" w:hAnsi="Times New Roman" w:cs="Times New Roman"/>
                <w:sz w:val="13"/>
                <w:szCs w:val="13"/>
              </w:rPr>
              <w:t>3</w:t>
            </w:r>
            <w:r>
              <w:rPr>
                <w:rFonts w:ascii="Times New Roman" w:hAnsi="Times New Roman" w:cs="Times New Roman"/>
                <w:position w:val="2"/>
                <w:szCs w:val="21"/>
              </w:rPr>
              <w:t>-N0.126t</w:t>
            </w:r>
            <w:r>
              <w:rPr>
                <w:rFonts w:ascii="Times New Roman" w:hAnsi="Times New Roman" w:cs="Times New Roman"/>
                <w:szCs w:val="24"/>
              </w:rPr>
              <w:t>。</w:t>
            </w:r>
          </w:p>
          <w:p>
            <w:pPr>
              <w:adjustRightInd w:val="0"/>
              <w:snapToGrid w:val="0"/>
              <w:spacing w:line="440" w:lineRule="exact"/>
              <w:ind w:firstLine="480"/>
              <w:jc w:val="left"/>
              <w:rPr>
                <w:rFonts w:ascii="Times New Roman" w:hAnsi="Times New Roman" w:cs="Times New Roman"/>
                <w:szCs w:val="24"/>
              </w:rPr>
            </w:pPr>
            <w:r>
              <w:rPr>
                <w:rFonts w:ascii="Times New Roman" w:hAnsi="Times New Roman" w:cs="Times New Roman"/>
                <w:szCs w:val="24"/>
              </w:rPr>
              <w:t>项目固体废弃物均妥善处置，不外排，无需申请总量。</w:t>
            </w:r>
          </w:p>
          <w:p>
            <w:pPr>
              <w:spacing w:line="440" w:lineRule="exact"/>
              <w:ind w:firstLine="480"/>
              <w:rPr>
                <w:rFonts w:ascii="Times New Roman" w:hAnsi="Times New Roman" w:cs="Times New Roman"/>
              </w:rPr>
            </w:pPr>
            <w:r>
              <w:rPr>
                <w:rFonts w:ascii="Times New Roman" w:hAnsi="Times New Roman" w:cs="Times New Roman"/>
              </w:rPr>
              <w:t>（9）总结论</w:t>
            </w:r>
          </w:p>
          <w:p>
            <w:pPr>
              <w:spacing w:line="440" w:lineRule="exact"/>
              <w:ind w:firstLine="480"/>
              <w:rPr>
                <w:rFonts w:ascii="Times New Roman" w:hAnsi="Times New Roman" w:cs="Times New Roman"/>
              </w:rPr>
            </w:pPr>
            <w:r>
              <w:rPr>
                <w:rFonts w:ascii="Times New Roman" w:hAnsi="Times New Roman" w:cs="Times New Roman"/>
              </w:rPr>
              <w:t>项目符合国家与地方的相关产业政策，选址合理。项目产生的各项污染物均能得到有效处置，能够达标排放，对区域环境影响较小。从环境保护角度分析，在严格执行本报告规定的各项污染物防治措施的前提下，项目建设可行。</w:t>
            </w:r>
          </w:p>
          <w:p>
            <w:pPr>
              <w:spacing w:before="60" w:beforeLines="25" w:after="60" w:afterLines="25" w:line="440" w:lineRule="exact"/>
              <w:ind w:firstLine="0" w:firstLineChars="0"/>
              <w:rPr>
                <w:rFonts w:ascii="Times New Roman" w:hAnsi="Times New Roman" w:cs="Times New Roman"/>
                <w:b/>
              </w:rPr>
            </w:pPr>
            <w:r>
              <w:rPr>
                <w:rFonts w:ascii="Times New Roman" w:hAnsi="Times New Roman" w:cs="Times New Roman"/>
                <w:b/>
              </w:rPr>
              <w:t>2、建议</w:t>
            </w:r>
          </w:p>
          <w:p>
            <w:pPr>
              <w:snapToGrid w:val="0"/>
              <w:spacing w:line="440" w:lineRule="exact"/>
              <w:ind w:firstLine="480"/>
              <w:jc w:val="left"/>
              <w:rPr>
                <w:rFonts w:ascii="Times New Roman" w:hAnsi="Times New Roman" w:cs="Times New Roman"/>
              </w:rPr>
            </w:pPr>
            <w:r>
              <w:rPr>
                <w:rFonts w:ascii="Times New Roman" w:hAnsi="Times New Roman" w:cs="Times New Roman"/>
              </w:rPr>
              <w:t>（1）建立健全环保责任制，重点加强废气、废水、噪声、固废的治理，项目废气、噪声需严格做到达标排放。</w:t>
            </w:r>
          </w:p>
          <w:p>
            <w:pPr>
              <w:snapToGrid w:val="0"/>
              <w:spacing w:line="440" w:lineRule="exact"/>
              <w:ind w:firstLine="480"/>
              <w:jc w:val="left"/>
              <w:rPr>
                <w:rFonts w:ascii="Times New Roman" w:hAnsi="Times New Roman" w:cs="Times New Roman"/>
              </w:rPr>
            </w:pPr>
            <w:r>
              <w:rPr>
                <w:rFonts w:ascii="Times New Roman" w:hAnsi="Times New Roman" w:cs="Times New Roman"/>
              </w:rPr>
              <w:t xml:space="preserve">（2）企业在生产过程中要严格管理，按照环保要求落实各项环保措施，认真执行“三同时”制度，从严控制各种污染物，确保有关污染物达标排放，固体废物得到妥善处理。 </w:t>
            </w:r>
          </w:p>
          <w:p>
            <w:pPr>
              <w:adjustRightInd w:val="0"/>
              <w:snapToGrid w:val="0"/>
              <w:spacing w:line="440" w:lineRule="exact"/>
              <w:ind w:firstLine="480"/>
              <w:rPr>
                <w:rFonts w:ascii="Times New Roman" w:hAnsi="Times New Roman" w:cs="Times New Roman"/>
                <w:szCs w:val="24"/>
              </w:rPr>
            </w:pPr>
            <w:r>
              <w:rPr>
                <w:rFonts w:ascii="Times New Roman" w:hAnsi="Times New Roman" w:cs="Times New Roman"/>
              </w:rPr>
              <w:t>（3）企业应重视引进和建立先进的环保管理模式，完善管理机制，强化企业职工自身的环保意识。</w:t>
            </w:r>
          </w:p>
          <w:p>
            <w:pPr>
              <w:adjustRightInd w:val="0"/>
              <w:snapToGrid w:val="0"/>
              <w:spacing w:line="440" w:lineRule="exact"/>
              <w:ind w:firstLine="480"/>
              <w:rPr>
                <w:rFonts w:ascii="Times New Roman" w:hAnsi="Times New Roman" w:cs="Times New Roman"/>
                <w:szCs w:val="24"/>
              </w:rPr>
            </w:pPr>
          </w:p>
          <w:p>
            <w:pPr>
              <w:adjustRightInd w:val="0"/>
              <w:snapToGrid w:val="0"/>
              <w:spacing w:line="440" w:lineRule="exact"/>
              <w:ind w:firstLine="480"/>
              <w:rPr>
                <w:rFonts w:ascii="Times New Roman" w:hAnsi="Times New Roman" w:cs="Times New Roman"/>
                <w:szCs w:val="24"/>
              </w:rPr>
            </w:pPr>
          </w:p>
        </w:tc>
      </w:tr>
    </w:tbl>
    <w:p>
      <w:pPr>
        <w:spacing w:line="240" w:lineRule="auto"/>
        <w:ind w:firstLine="0" w:firstLineChars="0"/>
        <w:rPr>
          <w:rFonts w:ascii="Times New Roman" w:hAnsi="Times New Roman" w:cs="Times New Roman"/>
          <w:sz w:val="10"/>
          <w:szCs w:val="10"/>
        </w:rPr>
        <w:sectPr>
          <w:footerReference r:id="rId9" w:type="default"/>
          <w:pgSz w:w="11906" w:h="16838"/>
          <w:pgMar w:top="1418" w:right="1418" w:bottom="1418" w:left="1418" w:header="1020" w:footer="1020" w:gutter="0"/>
          <w:pgNumType w:start="1"/>
          <w:cols w:space="720" w:num="1"/>
          <w:docGrid w:linePitch="326" w:charSpace="0"/>
        </w:sectPr>
      </w:pPr>
    </w:p>
    <w:p>
      <w:pPr>
        <w:spacing w:line="440" w:lineRule="exact"/>
        <w:ind w:firstLine="0" w:firstLineChars="0"/>
        <w:rPr>
          <w:rFonts w:ascii="Times New Roman" w:hAnsi="Times New Roman" w:cs="Times New Roman"/>
          <w:sz w:val="10"/>
          <w:szCs w:val="10"/>
        </w:rPr>
      </w:pPr>
    </w:p>
    <w:p>
      <w:pPr>
        <w:spacing w:line="440" w:lineRule="exact"/>
        <w:ind w:firstLine="0" w:firstLineChars="0"/>
        <w:rPr>
          <w:rFonts w:ascii="Times New Roman" w:hAnsi="Times New Roman" w:cs="Times New Roman"/>
          <w:sz w:val="10"/>
          <w:szCs w:val="10"/>
        </w:rPr>
      </w:pPr>
    </w:p>
    <w:p>
      <w:pPr>
        <w:spacing w:line="276" w:lineRule="auto"/>
        <w:ind w:firstLine="920"/>
        <w:jc w:val="center"/>
        <w:rPr>
          <w:rFonts w:ascii="Times New Roman" w:hAnsi="Times New Roman" w:cs="Times New Roman"/>
          <w:bCs/>
          <w:snapToGrid w:val="0"/>
          <w:spacing w:val="10"/>
          <w:kern w:val="0"/>
          <w:sz w:val="44"/>
          <w:szCs w:val="44"/>
        </w:rPr>
      </w:pPr>
    </w:p>
    <w:p>
      <w:pPr>
        <w:spacing w:line="276" w:lineRule="auto"/>
        <w:ind w:firstLine="0" w:firstLineChars="0"/>
        <w:jc w:val="center"/>
        <w:rPr>
          <w:rFonts w:ascii="Times New Roman" w:hAnsi="Times New Roman" w:cs="Times New Roman"/>
          <w:bCs/>
          <w:snapToGrid w:val="0"/>
          <w:spacing w:val="10"/>
          <w:kern w:val="0"/>
          <w:sz w:val="44"/>
          <w:szCs w:val="44"/>
        </w:rPr>
      </w:pPr>
      <w:r>
        <w:rPr>
          <w:rFonts w:ascii="Times New Roman" w:hAnsi="Times New Roman" w:cs="Times New Roman"/>
          <w:bCs/>
          <w:snapToGrid w:val="0"/>
          <w:spacing w:val="10"/>
          <w:kern w:val="0"/>
          <w:sz w:val="44"/>
          <w:szCs w:val="44"/>
        </w:rPr>
        <w:t>南京国轩新能源有限公司</w:t>
      </w:r>
    </w:p>
    <w:p>
      <w:pPr>
        <w:spacing w:line="276" w:lineRule="auto"/>
        <w:ind w:firstLine="0" w:firstLineChars="0"/>
        <w:jc w:val="center"/>
        <w:rPr>
          <w:rFonts w:ascii="Times New Roman" w:hAnsi="Times New Roman" w:cs="Times New Roman"/>
          <w:bCs/>
          <w:snapToGrid w:val="0"/>
          <w:spacing w:val="10"/>
          <w:kern w:val="0"/>
          <w:sz w:val="44"/>
          <w:szCs w:val="44"/>
        </w:rPr>
      </w:pPr>
      <w:r>
        <w:rPr>
          <w:rFonts w:ascii="Times New Roman" w:hAnsi="Times New Roman" w:cs="Times New Roman"/>
          <w:bCs/>
          <w:snapToGrid w:val="0"/>
          <w:spacing w:val="10"/>
          <w:kern w:val="0"/>
          <w:sz w:val="44"/>
          <w:szCs w:val="44"/>
        </w:rPr>
        <w:t>国轩南京年产5GWh动力电池系统生产线及配套建设项目</w:t>
      </w:r>
    </w:p>
    <w:p>
      <w:pPr>
        <w:spacing w:before="120" w:beforeLines="50" w:line="240" w:lineRule="auto"/>
        <w:ind w:firstLine="0" w:firstLineChars="0"/>
        <w:jc w:val="center"/>
        <w:rPr>
          <w:rFonts w:ascii="Times New Roman" w:hAnsi="Times New Roman" w:eastAsia="黑体" w:cs="Times New Roman"/>
          <w:b/>
          <w:bCs/>
          <w:kern w:val="0"/>
          <w:sz w:val="72"/>
          <w:szCs w:val="72"/>
        </w:rPr>
      </w:pPr>
      <w:r>
        <w:rPr>
          <w:rFonts w:ascii="Times New Roman" w:hAnsi="Times New Roman" w:eastAsia="黑体" w:cs="Times New Roman"/>
          <w:b/>
          <w:bCs/>
          <w:kern w:val="0"/>
          <w:sz w:val="72"/>
          <w:szCs w:val="72"/>
        </w:rPr>
        <w:t>环境风险评价专项</w:t>
      </w:r>
    </w:p>
    <w:p>
      <w:pPr>
        <w:ind w:firstLine="723"/>
        <w:jc w:val="center"/>
        <w:rPr>
          <w:rFonts w:ascii="Times New Roman" w:hAnsi="Times New Roman" w:cs="Times New Roman"/>
          <w:b/>
          <w:bCs/>
          <w:sz w:val="36"/>
          <w:szCs w:val="36"/>
        </w:rPr>
      </w:pPr>
    </w:p>
    <w:p>
      <w:pPr>
        <w:ind w:firstLine="0" w:firstLineChars="0"/>
        <w:jc w:val="center"/>
        <w:rPr>
          <w:rFonts w:ascii="Times New Roman" w:hAnsi="Times New Roman" w:cs="Times New Roman"/>
          <w:b/>
          <w:sz w:val="56"/>
        </w:rPr>
      </w:pPr>
    </w:p>
    <w:p>
      <w:pPr>
        <w:ind w:firstLine="0" w:firstLineChars="0"/>
        <w:jc w:val="center"/>
        <w:rPr>
          <w:rFonts w:ascii="Times New Roman" w:hAnsi="Times New Roman" w:cs="Times New Roman"/>
          <w:b/>
          <w:sz w:val="56"/>
        </w:rPr>
      </w:pPr>
    </w:p>
    <w:p>
      <w:pPr>
        <w:ind w:firstLine="0" w:firstLineChars="0"/>
        <w:jc w:val="center"/>
        <w:rPr>
          <w:rFonts w:ascii="Times New Roman" w:hAnsi="Times New Roman" w:cs="Times New Roman"/>
          <w:b/>
          <w:sz w:val="56"/>
        </w:rPr>
      </w:pPr>
    </w:p>
    <w:p>
      <w:pPr>
        <w:spacing w:line="276" w:lineRule="auto"/>
        <w:ind w:firstLine="0" w:firstLineChars="0"/>
        <w:jc w:val="center"/>
        <w:rPr>
          <w:rFonts w:ascii="Times New Roman" w:hAnsi="Times New Roman" w:cs="Times New Roman"/>
          <w:b/>
          <w:sz w:val="56"/>
        </w:rPr>
      </w:pPr>
    </w:p>
    <w:p>
      <w:pPr>
        <w:spacing w:line="276" w:lineRule="auto"/>
        <w:ind w:firstLine="0" w:firstLineChars="0"/>
        <w:jc w:val="center"/>
        <w:rPr>
          <w:rFonts w:ascii="Times New Roman" w:hAnsi="Times New Roman" w:cs="Times New Roman"/>
          <w:b/>
          <w:sz w:val="56"/>
        </w:rPr>
      </w:pPr>
    </w:p>
    <w:p>
      <w:pPr>
        <w:spacing w:line="276" w:lineRule="auto"/>
        <w:ind w:firstLine="0" w:firstLineChars="0"/>
        <w:jc w:val="center"/>
        <w:rPr>
          <w:rFonts w:ascii="Times New Roman" w:hAnsi="Times New Roman" w:cs="Times New Roman"/>
          <w:b/>
          <w:sz w:val="56"/>
        </w:rPr>
      </w:pPr>
    </w:p>
    <w:p>
      <w:pPr>
        <w:spacing w:line="276" w:lineRule="auto"/>
        <w:ind w:firstLine="0" w:firstLineChars="0"/>
        <w:jc w:val="center"/>
        <w:rPr>
          <w:rFonts w:ascii="Times New Roman" w:hAnsi="Times New Roman" w:cs="Times New Roman"/>
          <w:b/>
          <w:sz w:val="56"/>
        </w:rPr>
      </w:pPr>
    </w:p>
    <w:p>
      <w:pPr>
        <w:ind w:firstLine="763"/>
        <w:jc w:val="center"/>
        <w:rPr>
          <w:rFonts w:ascii="Times New Roman" w:hAnsi="Times New Roman" w:eastAsia="仿宋_GB2312" w:cs="Times New Roman"/>
          <w:b/>
          <w:snapToGrid w:val="0"/>
          <w:spacing w:val="10"/>
          <w:kern w:val="0"/>
          <w:sz w:val="36"/>
          <w:szCs w:val="36"/>
          <w:u w:val="single"/>
        </w:rPr>
      </w:pPr>
    </w:p>
    <w:p>
      <w:pPr>
        <w:ind w:firstLine="723"/>
        <w:jc w:val="center"/>
        <w:rPr>
          <w:rFonts w:ascii="Times New Roman" w:hAnsi="Times New Roman" w:cs="Times New Roman"/>
          <w:b/>
          <w:bCs/>
          <w:sz w:val="36"/>
          <w:szCs w:val="36"/>
        </w:rPr>
      </w:pPr>
      <w:r>
        <w:rPr>
          <w:rFonts w:ascii="Times New Roman" w:hAnsi="Times New Roman" w:cs="Times New Roman"/>
          <w:b/>
          <w:bCs/>
          <w:sz w:val="36"/>
          <w:szCs w:val="36"/>
        </w:rPr>
        <w:t>江苏国恒安全评价咨询服务有限公司</w:t>
      </w:r>
    </w:p>
    <w:p>
      <w:pPr>
        <w:ind w:firstLine="723"/>
        <w:jc w:val="center"/>
        <w:rPr>
          <w:rFonts w:ascii="Times New Roman" w:hAnsi="Times New Roman" w:cs="Times New Roman"/>
          <w:b/>
          <w:bCs/>
          <w:sz w:val="36"/>
          <w:szCs w:val="36"/>
        </w:rPr>
      </w:pPr>
      <w:r>
        <w:rPr>
          <w:rFonts w:ascii="Times New Roman" w:hAnsi="Times New Roman" w:cs="Times New Roman"/>
          <w:b/>
          <w:bCs/>
          <w:sz w:val="36"/>
          <w:szCs w:val="36"/>
        </w:rPr>
        <w:t>二〇一八年四月十六日</w:t>
      </w:r>
    </w:p>
    <w:p>
      <w:pPr>
        <w:ind w:firstLine="0" w:firstLineChars="0"/>
        <w:jc w:val="center"/>
        <w:rPr>
          <w:rFonts w:ascii="Times New Roman" w:hAnsi="Times New Roman" w:cs="Times New Roman"/>
          <w:b/>
          <w:sz w:val="56"/>
        </w:rPr>
        <w:sectPr>
          <w:footerReference r:id="rId10" w:type="default"/>
          <w:pgSz w:w="11906" w:h="16838"/>
          <w:pgMar w:top="1418" w:right="1418" w:bottom="1418" w:left="1418" w:header="567" w:footer="567" w:gutter="0"/>
          <w:pgNumType w:start="1"/>
          <w:cols w:space="720" w:num="1"/>
          <w:docGrid w:linePitch="326" w:charSpace="0"/>
        </w:sectPr>
      </w:pPr>
      <w:r>
        <w:rPr>
          <w:rFonts w:ascii="Times New Roman" w:hAnsi="Times New Roman" w:cs="Times New Roman"/>
          <w:b/>
          <w:sz w:val="56"/>
        </w:rPr>
        <w:br w:type="page"/>
      </w:r>
    </w:p>
    <w:p>
      <w:pPr>
        <w:keepNext/>
        <w:keepLines/>
        <w:pageBreakBefore/>
        <w:numPr>
          <w:ilvl w:val="0"/>
          <w:numId w:val="1"/>
        </w:numPr>
        <w:autoSpaceDE w:val="0"/>
        <w:autoSpaceDN w:val="0"/>
        <w:adjustRightInd w:val="0"/>
        <w:spacing w:before="400" w:after="600" w:line="240" w:lineRule="auto"/>
        <w:ind w:firstLineChars="0"/>
        <w:jc w:val="center"/>
        <w:textAlignment w:val="baseline"/>
        <w:outlineLvl w:val="0"/>
        <w:rPr>
          <w:rFonts w:ascii="Times New Roman" w:hAnsi="Times New Roman" w:eastAsia="黑体" w:cs="Times New Roman"/>
          <w:b/>
          <w:bCs/>
          <w:sz w:val="36"/>
          <w:szCs w:val="36"/>
        </w:rPr>
      </w:pPr>
      <w:bookmarkStart w:id="3" w:name="_Toc422308951"/>
      <w:r>
        <w:rPr>
          <w:rFonts w:ascii="Times New Roman" w:hAnsi="Times New Roman" w:eastAsia="黑体" w:cs="Times New Roman"/>
          <w:b/>
          <w:bCs/>
          <w:sz w:val="36"/>
          <w:szCs w:val="36"/>
        </w:rPr>
        <w:t>环境风险评价</w:t>
      </w:r>
    </w:p>
    <w:p>
      <w:pPr>
        <w:numPr>
          <w:ilvl w:val="1"/>
          <w:numId w:val="1"/>
        </w:numPr>
        <w:autoSpaceDE w:val="0"/>
        <w:autoSpaceDN w:val="0"/>
        <w:adjustRightInd w:val="0"/>
        <w:snapToGrid w:val="0"/>
        <w:spacing w:line="600" w:lineRule="exact"/>
        <w:ind w:left="1072" w:hanging="1072" w:firstLineChars="0"/>
        <w:jc w:val="left"/>
        <w:textAlignment w:val="baseline"/>
        <w:outlineLvl w:val="1"/>
        <w:rPr>
          <w:rFonts w:ascii="Times New Roman" w:hAnsi="Times New Roman" w:eastAsia="黑体" w:cs="Times New Roman"/>
          <w:b/>
          <w:bCs/>
          <w:sz w:val="30"/>
          <w:szCs w:val="32"/>
        </w:rPr>
      </w:pPr>
      <w:r>
        <w:rPr>
          <w:rFonts w:ascii="Times New Roman" w:hAnsi="Times New Roman" w:eastAsia="黑体" w:cs="Times New Roman"/>
          <w:b/>
          <w:bCs/>
          <w:sz w:val="30"/>
          <w:szCs w:val="32"/>
        </w:rPr>
        <w:t>风险评价目的和技术路线</w:t>
      </w:r>
      <w:bookmarkEnd w:id="3"/>
    </w:p>
    <w:p>
      <w:pPr>
        <w:snapToGrid w:val="0"/>
        <w:spacing w:line="440" w:lineRule="exact"/>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环境风险评价的目的是分析和预测建设项目存在的潜在危险、有害因素、项目建设和运行期间可能发生的突发性事件或事故（一般不包括人为破坏及自然灾害）所造成的人身安全与环境影响的损害程度。</w:t>
      </w:r>
    </w:p>
    <w:p>
      <w:pPr>
        <w:spacing w:line="440" w:lineRule="exact"/>
        <w:ind w:firstLine="480"/>
        <w:rPr>
          <w:rFonts w:ascii="Times New Roman" w:hAnsi="Times New Roman" w:cs="Times New Roman"/>
        </w:rPr>
      </w:pPr>
      <w:r>
        <w:rPr>
          <w:rFonts w:ascii="Times New Roman" w:hAnsi="Times New Roman" w:cs="Times New Roman"/>
          <w:snapToGrid w:val="0"/>
          <w:kern w:val="0"/>
          <w:szCs w:val="24"/>
        </w:rPr>
        <w:t>通过对本项目的风险源项的识别，判断发生风险事故的概率、通过数学模型计算发生风险事故时对外环境的影响、提出减少事故风险的措施，降低本项目的事故风险值，并使其达到本行业风</w:t>
      </w:r>
      <w:r>
        <w:rPr>
          <w:rFonts w:ascii="Times New Roman" w:hAnsi="Times New Roman" w:cs="Times New Roman"/>
        </w:rPr>
        <w:t>险可接受水平、得出风险评价结论、为审批部门提供审批依据、提出相应的事故处理措施、最大限度的减少发生事故时对外环境的影响、结合本项目的实际提出可行的风险应急预案。</w:t>
      </w:r>
    </w:p>
    <w:p>
      <w:pPr>
        <w:spacing w:line="440" w:lineRule="exact"/>
        <w:ind w:firstLine="480"/>
        <w:rPr>
          <w:rFonts w:ascii="Times New Roman" w:hAnsi="Times New Roman" w:cs="Times New Roman"/>
        </w:rPr>
      </w:pPr>
      <w:r>
        <w:rPr>
          <w:rFonts w:ascii="Times New Roman" w:hAnsi="Times New Roman" w:cs="Times New Roman"/>
        </w:rPr>
        <w:t>根据《关于对重大环境污染事故隐患进行风险评价的通知》（（90）环管字057号）和《关于加强环境影响评价管理防范环境风险的通知》（环发[2005]152号）的要求，按照《建设项目环境风险评价技术导则》（HJ/T169-2004）的要求，分析和预测建设项目存在的潜在危险、有害因素，建设项目建设和运行期间可能发生的突发性事件或事故（一般不包括人为破坏及自然灾害），引起有毒有害和易燃易爆等物质泄漏，所造成的人身安全与环境影响和损害程度，提出合理可行的防范、应急与减缓措施，以使建设项目事故率、损失和环境影响达到可接受水平。</w:t>
      </w:r>
    </w:p>
    <w:p>
      <w:pPr>
        <w:spacing w:line="440" w:lineRule="exact"/>
        <w:ind w:firstLine="480"/>
        <w:rPr>
          <w:rFonts w:ascii="Times New Roman" w:hAnsi="Times New Roman" w:cs="Times New Roman"/>
          <w:snapToGrid w:val="0"/>
          <w:kern w:val="0"/>
          <w:szCs w:val="24"/>
        </w:rPr>
      </w:pPr>
      <w:r>
        <w:rPr>
          <w:rFonts w:ascii="Times New Roman" w:hAnsi="Times New Roman" w:cs="Times New Roman"/>
        </w:rPr>
        <w:t>环境风险评价应把事故引起厂界外人</w:t>
      </w:r>
      <w:r>
        <w:rPr>
          <w:rFonts w:ascii="Times New Roman" w:hAnsi="Times New Roman" w:cs="Times New Roman"/>
          <w:snapToGrid w:val="0"/>
          <w:kern w:val="0"/>
          <w:szCs w:val="24"/>
        </w:rPr>
        <w:t>群的伤害、环境质量的恶化及对生态系统影响的预测和防护作为评价工作重点。</w:t>
      </w:r>
    </w:p>
    <w:p>
      <w:pPr>
        <w:snapToGrid w:val="0"/>
        <w:spacing w:line="440" w:lineRule="exact"/>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本项目风险评价的重点是汽油泄漏引起的火灾爆炸对厂界外人群的伤害、厂界外环境的影响程度和影响范围，说明环境影响的变化程度，提出可行的应急和防护措施。本项目环境风险评价技术路线见图1.1-1。</w:t>
      </w:r>
    </w:p>
    <w:p>
      <w:pPr>
        <w:snapToGrid w:val="0"/>
        <w:spacing w:line="440" w:lineRule="exact"/>
        <w:ind w:firstLine="480"/>
        <w:jc w:val="left"/>
        <w:rPr>
          <w:rFonts w:ascii="Times New Roman" w:hAnsi="Times New Roman" w:cs="Times New Roman"/>
          <w:snapToGrid w:val="0"/>
          <w:kern w:val="0"/>
          <w:szCs w:val="24"/>
        </w:rPr>
      </w:pPr>
    </w:p>
    <w:p>
      <w:pPr>
        <w:widowControl/>
        <w:spacing w:line="440" w:lineRule="exact"/>
        <w:ind w:firstLine="480"/>
        <w:rPr>
          <w:rFonts w:ascii="Times New Roman" w:hAnsi="Times New Roman" w:cs="Times New Roman"/>
        </w:rPr>
      </w:pPr>
    </w:p>
    <w:p>
      <w:pPr>
        <w:widowControl/>
        <w:spacing w:line="440" w:lineRule="exact"/>
        <w:ind w:firstLine="480"/>
        <w:rPr>
          <w:rFonts w:ascii="Times New Roman" w:hAnsi="Times New Roman" w:cs="Times New Roman"/>
        </w:rPr>
      </w:pPr>
    </w:p>
    <w:p>
      <w:pPr>
        <w:widowControl/>
        <w:spacing w:line="440" w:lineRule="exact"/>
        <w:ind w:firstLine="480"/>
        <w:rPr>
          <w:rFonts w:ascii="Times New Roman" w:hAnsi="Times New Roman" w:cs="Times New Roman"/>
        </w:rPr>
      </w:pPr>
    </w:p>
    <w:p>
      <w:pPr>
        <w:widowControl/>
        <w:spacing w:line="440" w:lineRule="exact"/>
        <w:ind w:firstLine="480"/>
        <w:rPr>
          <w:rFonts w:ascii="Times New Roman" w:hAnsi="Times New Roman" w:cs="Times New Roman"/>
        </w:rPr>
      </w:pPr>
    </w:p>
    <w:p>
      <w:pPr>
        <w:widowControl/>
        <w:spacing w:line="440" w:lineRule="exact"/>
        <w:ind w:firstLine="480"/>
        <w:rPr>
          <w:rFonts w:ascii="Times New Roman" w:hAnsi="Times New Roman" w:cs="Times New Roman"/>
        </w:rPr>
      </w:pPr>
    </w:p>
    <w:p>
      <w:pPr>
        <w:widowControl/>
        <w:ind w:firstLine="480"/>
        <w:rPr>
          <w:rFonts w:ascii="Times New Roman" w:hAnsi="Times New Roman" w:cs="Times New Roman"/>
        </w:rPr>
      </w:pPr>
    </w:p>
    <w:p>
      <w:pPr>
        <w:widowControl/>
        <w:ind w:firstLine="480"/>
        <w:rPr>
          <w:rFonts w:ascii="Times New Roman" w:hAnsi="Times New Roman" w:cs="Times New Roman"/>
        </w:rPr>
        <w:sectPr>
          <w:footerReference r:id="rId11" w:type="default"/>
          <w:pgSz w:w="11910" w:h="16840"/>
          <w:pgMar w:top="1100" w:right="1540" w:bottom="1180" w:left="1560" w:header="875" w:footer="986" w:gutter="0"/>
          <w:pgNumType w:start="1"/>
          <w:cols w:equalWidth="0" w:num="1">
            <w:col w:w="8810"/>
          </w:cols>
        </w:sectPr>
      </w:pPr>
    </w:p>
    <w:p>
      <w:pPr>
        <w:widowControl/>
        <w:ind w:firstLine="480"/>
        <w:rPr>
          <w:rFonts w:ascii="Times New Roman" w:hAnsi="Times New Roman" w:cs="Times New Roman"/>
        </w:rPr>
      </w:pPr>
    </w:p>
    <w:p>
      <w:pPr>
        <w:widowControl/>
        <w:spacing w:line="440" w:lineRule="exact"/>
        <w:ind w:firstLine="0" w:firstLineChars="0"/>
        <w:jc w:val="left"/>
        <w:rPr>
          <w:rFonts w:ascii="Times New Roman" w:hAnsi="Times New Roman" w:cs="Times New Roman"/>
          <w:b/>
          <w:bCs/>
        </w:rPr>
      </w:pPr>
      <w:r>
        <w:rPr>
          <w:rFonts w:ascii="Times New Roman" w:hAnsi="Times New Roman" w:cs="Times New Roman"/>
          <w:b/>
          <w:bCs/>
        </w:rPr>
        <mc:AlternateContent>
          <mc:Choice Requires="wpg">
            <w:drawing>
              <wp:anchor distT="0" distB="0" distL="114300" distR="114300" simplePos="0" relativeHeight="251661312" behindDoc="0" locked="0" layoutInCell="1" allowOverlap="1">
                <wp:simplePos x="0" y="0"/>
                <wp:positionH relativeFrom="column">
                  <wp:posOffset>-211455</wp:posOffset>
                </wp:positionH>
                <wp:positionV relativeFrom="paragraph">
                  <wp:posOffset>146685</wp:posOffset>
                </wp:positionV>
                <wp:extent cx="6302375" cy="7651115"/>
                <wp:effectExtent l="4445" t="0" r="17780" b="6985"/>
                <wp:wrapNone/>
                <wp:docPr id="152" name="组合 5"/>
                <wp:cNvGraphicFramePr/>
                <a:graphic xmlns:a="http://schemas.openxmlformats.org/drawingml/2006/main">
                  <a:graphicData uri="http://schemas.microsoft.com/office/word/2010/wordprocessingGroup">
                    <wpg:wgp>
                      <wpg:cNvGrpSpPr/>
                      <wpg:grpSpPr>
                        <a:xfrm>
                          <a:off x="0" y="0"/>
                          <a:ext cx="6302375" cy="7651115"/>
                          <a:chOff x="1141" y="1705"/>
                          <a:chExt cx="9925" cy="12049"/>
                        </a:xfrm>
                      </wpg:grpSpPr>
                      <wps:wsp>
                        <wps:cNvPr id="53" name="文本框 6"/>
                        <wps:cNvSpPr txBox="1"/>
                        <wps:spPr>
                          <a:xfrm>
                            <a:off x="1668" y="6348"/>
                            <a:ext cx="1199" cy="645"/>
                          </a:xfrm>
                          <a:prstGeom prst="rect">
                            <a:avLst/>
                          </a:prstGeom>
                          <a:noFill/>
                          <a:ln w="9525" cap="flat" cmpd="sng">
                            <a:solidFill>
                              <a:srgbClr val="000000"/>
                            </a:solidFill>
                            <a:prstDash val="solid"/>
                            <a:miter/>
                            <a:headEnd type="none" w="med" len="med"/>
                            <a:tailEnd type="none" w="med" len="med"/>
                          </a:ln>
                        </wps:spPr>
                        <wps:txbx>
                          <w:txbxContent>
                            <w:p>
                              <w:pPr>
                                <w:ind w:firstLine="0" w:firstLineChars="0"/>
                                <w:jc w:val="left"/>
                                <w:rPr>
                                  <w:sz w:val="21"/>
                                </w:rPr>
                              </w:pPr>
                              <w:r>
                                <w:rPr>
                                  <w:rFonts w:hint="eastAsia"/>
                                  <w:sz w:val="21"/>
                                </w:rPr>
                                <w:t>后果计算</w:t>
                              </w:r>
                            </w:p>
                          </w:txbxContent>
                        </wps:txbx>
                        <wps:bodyPr upright="1"/>
                      </wps:wsp>
                      <wpg:grpSp>
                        <wpg:cNvPr id="151" name="组合 7"/>
                        <wpg:cNvGrpSpPr/>
                        <wpg:grpSpPr>
                          <a:xfrm>
                            <a:off x="1141" y="1705"/>
                            <a:ext cx="9925" cy="12049"/>
                            <a:chOff x="1141" y="1705"/>
                            <a:chExt cx="9925" cy="12049"/>
                          </a:xfrm>
                        </wpg:grpSpPr>
                        <wpg:grpSp>
                          <wpg:cNvPr id="149" name="组合 8"/>
                          <wpg:cNvGrpSpPr/>
                          <wpg:grpSpPr>
                            <a:xfrm>
                              <a:off x="1141" y="1705"/>
                              <a:ext cx="9925" cy="12049"/>
                              <a:chOff x="1141" y="1705"/>
                              <a:chExt cx="9925" cy="12049"/>
                            </a:xfrm>
                          </wpg:grpSpPr>
                          <wpg:grpSp>
                            <wpg:cNvPr id="147" name="组合 9"/>
                            <wpg:cNvGrpSpPr/>
                            <wpg:grpSpPr>
                              <a:xfrm>
                                <a:off x="1141" y="1705"/>
                                <a:ext cx="9925" cy="12049"/>
                                <a:chOff x="1141" y="1705"/>
                                <a:chExt cx="9925" cy="12049"/>
                              </a:xfrm>
                            </wpg:grpSpPr>
                            <wps:wsp>
                              <wps:cNvPr id="54" name="文本框 10"/>
                              <wps:cNvSpPr txBox="1"/>
                              <wps:spPr>
                                <a:xfrm>
                                  <a:off x="3587" y="12982"/>
                                  <a:ext cx="1650" cy="772"/>
                                </a:xfrm>
                                <a:prstGeom prst="rect">
                                  <a:avLst/>
                                </a:prstGeom>
                                <a:noFill/>
                                <a:ln w="9525">
                                  <a:noFill/>
                                </a:ln>
                              </wps:spPr>
                              <wps:txbx>
                                <w:txbxContent>
                                  <w:p>
                                    <w:pPr>
                                      <w:spacing w:line="240" w:lineRule="auto"/>
                                      <w:ind w:firstLine="0" w:firstLineChars="0"/>
                                      <w:jc w:val="left"/>
                                      <w:rPr>
                                        <w:sz w:val="18"/>
                                      </w:rPr>
                                    </w:pPr>
                                    <w:r>
                                      <w:rPr>
                                        <w:rFonts w:hint="eastAsia"/>
                                        <w:sz w:val="18"/>
                                      </w:rPr>
                                      <w:t>事故现场</w:t>
                                    </w:r>
                                  </w:p>
                                  <w:p>
                                    <w:pPr>
                                      <w:spacing w:line="240" w:lineRule="auto"/>
                                      <w:ind w:firstLine="0" w:firstLineChars="0"/>
                                      <w:jc w:val="left"/>
                                      <w:rPr>
                                        <w:sz w:val="18"/>
                                      </w:rPr>
                                    </w:pPr>
                                    <w:r>
                                      <w:rPr>
                                        <w:rFonts w:hint="eastAsia"/>
                                        <w:sz w:val="18"/>
                                      </w:rPr>
                                      <w:t>周围影响区</w:t>
                                    </w:r>
                                  </w:p>
                                </w:txbxContent>
                              </wps:txbx>
                              <wps:bodyPr upright="1"/>
                            </wps:wsp>
                            <wpg:grpSp>
                              <wpg:cNvPr id="146" name="组合 11"/>
                              <wpg:cNvGrpSpPr/>
                              <wpg:grpSpPr>
                                <a:xfrm>
                                  <a:off x="1141" y="1705"/>
                                  <a:ext cx="9925" cy="12049"/>
                                  <a:chOff x="1141" y="1705"/>
                                  <a:chExt cx="9925" cy="12049"/>
                                </a:xfrm>
                              </wpg:grpSpPr>
                              <wps:wsp>
                                <wps:cNvPr id="55" name="自选图形 12"/>
                                <wps:cNvCnPr/>
                                <wps:spPr>
                                  <a:xfrm>
                                    <a:off x="3198" y="11757"/>
                                    <a:ext cx="7868" cy="0"/>
                                  </a:xfrm>
                                  <a:prstGeom prst="straightConnector1">
                                    <a:avLst/>
                                  </a:prstGeom>
                                  <a:ln w="9525" cap="flat" cmpd="sng">
                                    <a:solidFill>
                                      <a:srgbClr val="000000"/>
                                    </a:solidFill>
                                    <a:prstDash val="dash"/>
                                    <a:headEnd type="none" w="med" len="med"/>
                                    <a:tailEnd type="none" w="med" len="med"/>
                                  </a:ln>
                                </wps:spPr>
                                <wps:bodyPr/>
                              </wps:wsp>
                              <wpg:grpSp>
                                <wpg:cNvPr id="145" name="组合 13"/>
                                <wpg:cNvGrpSpPr/>
                                <wpg:grpSpPr>
                                  <a:xfrm>
                                    <a:off x="1141" y="1705"/>
                                    <a:ext cx="9925" cy="12049"/>
                                    <a:chOff x="1141" y="1705"/>
                                    <a:chExt cx="9925" cy="12049"/>
                                  </a:xfrm>
                                </wpg:grpSpPr>
                                <wpg:grpSp>
                                  <wpg:cNvPr id="143" name="组合 14"/>
                                  <wpg:cNvGrpSpPr/>
                                  <wpg:grpSpPr>
                                    <a:xfrm>
                                      <a:off x="1141" y="1705"/>
                                      <a:ext cx="9925" cy="12049"/>
                                      <a:chOff x="1141" y="1705"/>
                                      <a:chExt cx="9925" cy="12049"/>
                                    </a:xfrm>
                                  </wpg:grpSpPr>
                                  <wpg:grpSp>
                                    <wpg:cNvPr id="141" name="组合 15"/>
                                    <wpg:cNvGrpSpPr/>
                                    <wpg:grpSpPr>
                                      <a:xfrm>
                                        <a:off x="1141" y="1705"/>
                                        <a:ext cx="9925" cy="12049"/>
                                        <a:chOff x="1141" y="1705"/>
                                        <a:chExt cx="9925" cy="12049"/>
                                      </a:xfrm>
                                    </wpg:grpSpPr>
                                    <wps:wsp>
                                      <wps:cNvPr id="56" name="文本框 16"/>
                                      <wps:cNvSpPr txBox="1"/>
                                      <wps:spPr>
                                        <a:xfrm>
                                          <a:off x="3430" y="10484"/>
                                          <a:ext cx="1950" cy="772"/>
                                        </a:xfrm>
                                        <a:prstGeom prst="rect">
                                          <a:avLst/>
                                        </a:prstGeom>
                                        <a:noFill/>
                                        <a:ln w="9525">
                                          <a:noFill/>
                                        </a:ln>
                                      </wps:spPr>
                                      <wps:txbx>
                                        <w:txbxContent>
                                          <w:p>
                                            <w:pPr>
                                              <w:spacing w:line="240" w:lineRule="auto"/>
                                              <w:ind w:firstLine="0" w:firstLineChars="0"/>
                                              <w:jc w:val="left"/>
                                              <w:rPr>
                                                <w:sz w:val="18"/>
                                              </w:rPr>
                                            </w:pPr>
                                            <w:r>
                                              <w:rPr>
                                                <w:rFonts w:hint="eastAsia"/>
                                                <w:sz w:val="18"/>
                                              </w:rPr>
                                              <w:t>可接受风险水平</w:t>
                                            </w:r>
                                          </w:p>
                                          <w:p>
                                            <w:pPr>
                                              <w:spacing w:line="240" w:lineRule="auto"/>
                                              <w:ind w:firstLine="0" w:firstLineChars="0"/>
                                              <w:jc w:val="left"/>
                                              <w:rPr>
                                                <w:sz w:val="18"/>
                                              </w:rPr>
                                            </w:pPr>
                                            <w:r>
                                              <w:rPr>
                                                <w:rFonts w:hint="eastAsia"/>
                                                <w:sz w:val="18"/>
                                              </w:rPr>
                                              <w:t>不可接受风险水平</w:t>
                                            </w:r>
                                          </w:p>
                                        </w:txbxContent>
                                      </wps:txbx>
                                      <wps:bodyPr upright="1"/>
                                    </wps:wsp>
                                    <wpg:grpSp>
                                      <wpg:cNvPr id="140" name="组合 17"/>
                                      <wpg:cNvGrpSpPr/>
                                      <wpg:grpSpPr>
                                        <a:xfrm>
                                          <a:off x="1141" y="1705"/>
                                          <a:ext cx="9925" cy="12049"/>
                                          <a:chOff x="1141" y="1705"/>
                                          <a:chExt cx="9925" cy="12049"/>
                                        </a:xfrm>
                                      </wpg:grpSpPr>
                                      <wps:wsp>
                                        <wps:cNvPr id="57" name="自选图形 18"/>
                                        <wps:cNvCnPr/>
                                        <wps:spPr>
                                          <a:xfrm>
                                            <a:off x="3198" y="9896"/>
                                            <a:ext cx="7868" cy="0"/>
                                          </a:xfrm>
                                          <a:prstGeom prst="straightConnector1">
                                            <a:avLst/>
                                          </a:prstGeom>
                                          <a:ln w="9525" cap="flat" cmpd="sng">
                                            <a:solidFill>
                                              <a:srgbClr val="000000"/>
                                            </a:solidFill>
                                            <a:prstDash val="dash"/>
                                            <a:headEnd type="none" w="med" len="med"/>
                                            <a:tailEnd type="none" w="med" len="med"/>
                                          </a:ln>
                                        </wps:spPr>
                                        <wps:bodyPr/>
                                      </wps:wsp>
                                      <wpg:grpSp>
                                        <wpg:cNvPr id="139" name="组合 19"/>
                                        <wpg:cNvGrpSpPr/>
                                        <wpg:grpSpPr>
                                          <a:xfrm>
                                            <a:off x="1141" y="1705"/>
                                            <a:ext cx="9813" cy="12049"/>
                                            <a:chOff x="1141" y="1705"/>
                                            <a:chExt cx="9813" cy="12049"/>
                                          </a:xfrm>
                                        </wpg:grpSpPr>
                                        <wpg:grpSp>
                                          <wpg:cNvPr id="137" name="组合 20"/>
                                          <wpg:cNvGrpSpPr/>
                                          <wpg:grpSpPr>
                                            <a:xfrm>
                                              <a:off x="1141" y="1705"/>
                                              <a:ext cx="9813" cy="12049"/>
                                              <a:chOff x="1141" y="1705"/>
                                              <a:chExt cx="9813" cy="12049"/>
                                            </a:xfrm>
                                          </wpg:grpSpPr>
                                          <wpg:grpSp>
                                            <wpg:cNvPr id="135" name="组合 21"/>
                                            <wpg:cNvGrpSpPr/>
                                            <wpg:grpSpPr>
                                              <a:xfrm>
                                                <a:off x="1141" y="1705"/>
                                                <a:ext cx="9813" cy="12049"/>
                                                <a:chOff x="1141" y="1705"/>
                                                <a:chExt cx="9813" cy="12049"/>
                                              </a:xfrm>
                                            </wpg:grpSpPr>
                                            <wps:wsp>
                                              <wps:cNvPr id="58" name="文本框 22"/>
                                              <wps:cNvSpPr txBox="1"/>
                                              <wps:spPr>
                                                <a:xfrm>
                                                  <a:off x="3363" y="8306"/>
                                                  <a:ext cx="1874" cy="772"/>
                                                </a:xfrm>
                                                <a:prstGeom prst="rect">
                                                  <a:avLst/>
                                                </a:prstGeom>
                                                <a:noFill/>
                                                <a:ln w="9525">
                                                  <a:noFill/>
                                                </a:ln>
                                              </wps:spPr>
                                              <wps:txbx>
                                                <w:txbxContent>
                                                  <w:p>
                                                    <w:pPr>
                                                      <w:spacing w:line="240" w:lineRule="auto"/>
                                                      <w:ind w:firstLine="0" w:firstLineChars="0"/>
                                                      <w:jc w:val="left"/>
                                                      <w:rPr>
                                                        <w:sz w:val="18"/>
                                                      </w:rPr>
                                                    </w:pPr>
                                                    <w:r>
                                                      <w:rPr>
                                                        <w:rFonts w:hint="eastAsia"/>
                                                        <w:sz w:val="18"/>
                                                      </w:rPr>
                                                      <w:t>最大可信事故风险风险评价标准体系</w:t>
                                                    </w:r>
                                                  </w:p>
                                                </w:txbxContent>
                                              </wps:txbx>
                                              <wps:bodyPr upright="1"/>
                                            </wps:wsp>
                                            <wpg:grpSp>
                                              <wpg:cNvPr id="134" name="组合 23"/>
                                              <wpg:cNvGrpSpPr/>
                                              <wpg:grpSpPr>
                                                <a:xfrm>
                                                  <a:off x="1141" y="1705"/>
                                                  <a:ext cx="9813" cy="12049"/>
                                                  <a:chOff x="1141" y="1705"/>
                                                  <a:chExt cx="9813" cy="12049"/>
                                                </a:xfrm>
                                              </wpg:grpSpPr>
                                              <wps:wsp>
                                                <wps:cNvPr id="59" name="自选图形 24"/>
                                                <wps:cNvCnPr/>
                                                <wps:spPr>
                                                  <a:xfrm>
                                                    <a:off x="3086" y="8006"/>
                                                    <a:ext cx="7868" cy="0"/>
                                                  </a:xfrm>
                                                  <a:prstGeom prst="straightConnector1">
                                                    <a:avLst/>
                                                  </a:prstGeom>
                                                  <a:ln w="9525" cap="flat" cmpd="sng">
                                                    <a:solidFill>
                                                      <a:srgbClr val="000000"/>
                                                    </a:solidFill>
                                                    <a:prstDash val="dash"/>
                                                    <a:headEnd type="none" w="med" len="med"/>
                                                    <a:tailEnd type="none" w="med" len="med"/>
                                                  </a:ln>
                                                </wps:spPr>
                                                <wps:bodyPr/>
                                              </wps:wsp>
                                              <wpg:grpSp>
                                                <wpg:cNvPr id="133" name="组合 25"/>
                                                <wpg:cNvGrpSpPr/>
                                                <wpg:grpSpPr>
                                                  <a:xfrm>
                                                    <a:off x="1141" y="1705"/>
                                                    <a:ext cx="9813" cy="12049"/>
                                                    <a:chOff x="1141" y="1705"/>
                                                    <a:chExt cx="9813" cy="12049"/>
                                                  </a:xfrm>
                                                </wpg:grpSpPr>
                                                <wps:wsp>
                                                  <wps:cNvPr id="60" name="自选图形 26"/>
                                                  <wps:cNvCnPr/>
                                                  <wps:spPr>
                                                    <a:xfrm>
                                                      <a:off x="3086" y="5967"/>
                                                      <a:ext cx="7868" cy="0"/>
                                                    </a:xfrm>
                                                    <a:prstGeom prst="straightConnector1">
                                                      <a:avLst/>
                                                    </a:prstGeom>
                                                    <a:ln w="9525" cap="flat" cmpd="sng">
                                                      <a:solidFill>
                                                        <a:srgbClr val="000000"/>
                                                      </a:solidFill>
                                                      <a:prstDash val="dash"/>
                                                      <a:headEnd type="none" w="med" len="med"/>
                                                      <a:tailEnd type="none" w="med" len="med"/>
                                                    </a:ln>
                                                  </wps:spPr>
                                                  <wps:bodyPr/>
                                                </wps:wsp>
                                                <wpg:grpSp>
                                                  <wpg:cNvPr id="132" name="组合 27"/>
                                                  <wpg:cNvGrpSpPr/>
                                                  <wpg:grpSpPr>
                                                    <a:xfrm>
                                                      <a:off x="1141" y="1705"/>
                                                      <a:ext cx="9813" cy="12049"/>
                                                      <a:chOff x="1141" y="1705"/>
                                                      <a:chExt cx="9813" cy="12049"/>
                                                    </a:xfrm>
                                                  </wpg:grpSpPr>
                                                  <wpg:grpSp>
                                                    <wpg:cNvPr id="130" name="组合 28"/>
                                                    <wpg:cNvGrpSpPr/>
                                                    <wpg:grpSpPr>
                                                      <a:xfrm>
                                                        <a:off x="1141" y="1705"/>
                                                        <a:ext cx="9813" cy="12049"/>
                                                        <a:chOff x="1141" y="1705"/>
                                                        <a:chExt cx="9813" cy="12049"/>
                                                      </a:xfrm>
                                                    </wpg:grpSpPr>
                                                    <wpg:grpSp>
                                                      <wpg:cNvPr id="128" name="组合 29"/>
                                                      <wpg:cNvGrpSpPr/>
                                                      <wpg:grpSpPr>
                                                        <a:xfrm>
                                                          <a:off x="1141" y="1705"/>
                                                          <a:ext cx="9813" cy="12049"/>
                                                          <a:chOff x="1141" y="1705"/>
                                                          <a:chExt cx="9813" cy="12049"/>
                                                        </a:xfrm>
                                                      </wpg:grpSpPr>
                                                      <wpg:grpSp>
                                                        <wpg:cNvPr id="126" name="组合 30"/>
                                                        <wpg:cNvGrpSpPr/>
                                                        <wpg:grpSpPr>
                                                          <a:xfrm>
                                                            <a:off x="1141" y="1705"/>
                                                            <a:ext cx="9813" cy="12049"/>
                                                            <a:chOff x="1141" y="1705"/>
                                                            <a:chExt cx="9813" cy="12049"/>
                                                          </a:xfrm>
                                                        </wpg:grpSpPr>
                                                        <wps:wsp>
                                                          <wps:cNvPr id="61" name="文本框 31"/>
                                                          <wps:cNvSpPr txBox="1"/>
                                                          <wps:spPr>
                                                            <a:xfrm>
                                                              <a:off x="8854" y="4370"/>
                                                              <a:ext cx="1650" cy="772"/>
                                                            </a:xfrm>
                                                            <a:prstGeom prst="rect">
                                                              <a:avLst/>
                                                            </a:prstGeom>
                                                            <a:noFill/>
                                                            <a:ln w="9525">
                                                              <a:noFill/>
                                                            </a:ln>
                                                          </wps:spPr>
                                                          <wps:txbx>
                                                            <w:txbxContent>
                                                              <w:p>
                                                                <w:pPr>
                                                                  <w:spacing w:line="240" w:lineRule="auto"/>
                                                                  <w:ind w:firstLine="0" w:firstLineChars="0"/>
                                                                  <w:jc w:val="left"/>
                                                                  <w:rPr>
                                                                    <w:sz w:val="18"/>
                                                                  </w:rPr>
                                                                </w:pPr>
                                                                <w:r>
                                                                  <w:rPr>
                                                                    <w:rFonts w:hint="eastAsia"/>
                                                                    <w:sz w:val="18"/>
                                                                  </w:rPr>
                                                                  <w:t>确定最大可信事故及其概率</w:t>
                                                                </w:r>
                                                              </w:p>
                                                            </w:txbxContent>
                                                          </wps:txbx>
                                                          <wps:bodyPr upright="1"/>
                                                        </wps:wsp>
                                                        <wpg:grpSp>
                                                          <wpg:cNvPr id="125" name="组合 32"/>
                                                          <wpg:cNvGrpSpPr/>
                                                          <wpg:grpSpPr>
                                                            <a:xfrm>
                                                              <a:off x="1141" y="1705"/>
                                                              <a:ext cx="9813" cy="12049"/>
                                                              <a:chOff x="1141" y="1705"/>
                                                              <a:chExt cx="9813" cy="12049"/>
                                                            </a:xfrm>
                                                          </wpg:grpSpPr>
                                                          <wps:wsp>
                                                            <wps:cNvPr id="62" name="文本框 33"/>
                                                            <wps:cNvSpPr txBox="1"/>
                                                            <wps:spPr>
                                                              <a:xfrm>
                                                                <a:off x="7129" y="5374"/>
                                                                <a:ext cx="1119" cy="495"/>
                                                              </a:xfrm>
                                                              <a:prstGeom prst="rect">
                                                                <a:avLst/>
                                                              </a:prstGeom>
                                                              <a:noFill/>
                                                              <a:ln w="9525">
                                                                <a:noFill/>
                                                              </a:ln>
                                                            </wps:spPr>
                                                            <wps:txbx>
                                                              <w:txbxContent>
                                                                <w:p>
                                                                  <w:pPr>
                                                                    <w:spacing w:line="240" w:lineRule="auto"/>
                                                                    <w:ind w:firstLine="0" w:firstLineChars="0"/>
                                                                    <w:jc w:val="left"/>
                                                                    <w:rPr>
                                                                      <w:sz w:val="18"/>
                                                                    </w:rPr>
                                                                  </w:pPr>
                                                                  <w:r>
                                                                    <w:rPr>
                                                                      <w:rFonts w:hint="eastAsia"/>
                                                                      <w:sz w:val="18"/>
                                                                    </w:rPr>
                                                                    <w:t>事故树法</w:t>
                                                                  </w:r>
                                                                </w:p>
                                                              </w:txbxContent>
                                                            </wps:txbx>
                                                            <wps:bodyPr upright="1"/>
                                                          </wps:wsp>
                                                          <wpg:grpSp>
                                                            <wpg:cNvPr id="124" name="组合 34"/>
                                                            <wpg:cNvGrpSpPr/>
                                                            <wpg:grpSpPr>
                                                              <a:xfrm>
                                                                <a:off x="1141" y="1705"/>
                                                                <a:ext cx="9813" cy="12049"/>
                                                                <a:chOff x="1141" y="1705"/>
                                                                <a:chExt cx="9813" cy="12049"/>
                                                              </a:xfrm>
                                                            </wpg:grpSpPr>
                                                            <wps:wsp>
                                                              <wps:cNvPr id="63" name="自选图形 35"/>
                                                              <wps:cNvCnPr/>
                                                              <wps:spPr>
                                                                <a:xfrm>
                                                                  <a:off x="1486" y="2297"/>
                                                                  <a:ext cx="9354" cy="0"/>
                                                                </a:xfrm>
                                                                <a:prstGeom prst="straightConnector1">
                                                                  <a:avLst/>
                                                                </a:prstGeom>
                                                                <a:ln w="9525" cap="flat" cmpd="sng">
                                                                  <a:solidFill>
                                                                    <a:srgbClr val="000000"/>
                                                                  </a:solidFill>
                                                                  <a:prstDash val="dash"/>
                                                                  <a:headEnd type="none" w="med" len="med"/>
                                                                  <a:tailEnd type="none" w="med" len="med"/>
                                                                </a:ln>
                                                              </wps:spPr>
                                                              <wps:bodyPr/>
                                                            </wps:wsp>
                                                            <wpg:grpSp>
                                                              <wpg:cNvPr id="123" name="组合 36"/>
                                                              <wpg:cNvGrpSpPr/>
                                                              <wpg:grpSpPr>
                                                                <a:xfrm>
                                                                  <a:off x="1141" y="1705"/>
                                                                  <a:ext cx="9813" cy="12049"/>
                                                                  <a:chOff x="1141" y="1705"/>
                                                                  <a:chExt cx="9813" cy="12049"/>
                                                                </a:xfrm>
                                                              </wpg:grpSpPr>
                                                              <wps:wsp>
                                                                <wps:cNvPr id="64" name="文本框 37"/>
                                                                <wps:cNvSpPr txBox="1"/>
                                                                <wps:spPr>
                                                                  <a:xfrm>
                                                                    <a:off x="9294" y="1736"/>
                                                                    <a:ext cx="863" cy="645"/>
                                                                  </a:xfrm>
                                                                  <a:prstGeom prst="rect">
                                                                    <a:avLst/>
                                                                  </a:prstGeom>
                                                                  <a:noFill/>
                                                                  <a:ln w="9525">
                                                                    <a:noFill/>
                                                                  </a:ln>
                                                                </wps:spPr>
                                                                <wps:txbx>
                                                                  <w:txbxContent>
                                                                    <w:p>
                                                                      <w:pPr>
                                                                        <w:ind w:firstLine="0" w:firstLineChars="0"/>
                                                                        <w:jc w:val="left"/>
                                                                        <w:rPr>
                                                                          <w:sz w:val="21"/>
                                                                        </w:rPr>
                                                                      </w:pPr>
                                                                      <w:r>
                                                                        <w:rPr>
                                                                          <w:rFonts w:hint="eastAsia"/>
                                                                          <w:sz w:val="21"/>
                                                                        </w:rPr>
                                                                        <w:t>目标</w:t>
                                                                      </w:r>
                                                                    </w:p>
                                                                  </w:txbxContent>
                                                                </wps:txbx>
                                                                <wps:bodyPr upright="1"/>
                                                              </wps:wsp>
                                                              <wpg:grpSp>
                                                                <wpg:cNvPr id="122" name="组合 38"/>
                                                                <wpg:cNvGrpSpPr/>
                                                                <wpg:grpSpPr>
                                                                  <a:xfrm>
                                                                    <a:off x="1141" y="1705"/>
                                                                    <a:ext cx="9813" cy="12049"/>
                                                                    <a:chOff x="1141" y="1705"/>
                                                                    <a:chExt cx="9813" cy="12049"/>
                                                                  </a:xfrm>
                                                                </wpg:grpSpPr>
                                                                <wps:wsp>
                                                                  <wps:cNvPr id="65" name="文本框 39"/>
                                                                  <wps:cNvSpPr txBox="1"/>
                                                                  <wps:spPr>
                                                                    <a:xfrm>
                                                                      <a:off x="8661" y="2321"/>
                                                                      <a:ext cx="2293" cy="772"/>
                                                                    </a:xfrm>
                                                                    <a:prstGeom prst="rect">
                                                                      <a:avLst/>
                                                                    </a:prstGeom>
                                                                    <a:noFill/>
                                                                    <a:ln w="9525">
                                                                      <a:noFill/>
                                                                    </a:ln>
                                                                  </wps:spPr>
                                                                  <wps:txbx>
                                                                    <w:txbxContent>
                                                                      <w:p>
                                                                        <w:pPr>
                                                                          <w:spacing w:line="240" w:lineRule="auto"/>
                                                                          <w:ind w:firstLine="0" w:firstLineChars="0"/>
                                                                          <w:jc w:val="left"/>
                                                                          <w:rPr>
                                                                            <w:sz w:val="18"/>
                                                                          </w:rPr>
                                                                        </w:pPr>
                                                                        <w:r>
                                                                          <w:rPr>
                                                                            <w:rFonts w:hint="eastAsia"/>
                                                                            <w:sz w:val="18"/>
                                                                          </w:rPr>
                                                                          <w:t>确定风险因素和风险类型</w:t>
                                                                        </w:r>
                                                                      </w:p>
                                                                    </w:txbxContent>
                                                                  </wps:txbx>
                                                                  <wps:bodyPr upright="1"/>
                                                                </wps:wsp>
                                                                <wpg:grpSp>
                                                                  <wpg:cNvPr id="121" name="组合 40"/>
                                                                  <wpg:cNvGrpSpPr/>
                                                                  <wpg:grpSpPr>
                                                                    <a:xfrm>
                                                                      <a:off x="1141" y="1705"/>
                                                                      <a:ext cx="7359" cy="12049"/>
                                                                      <a:chOff x="1141" y="1705"/>
                                                                      <a:chExt cx="7359" cy="12049"/>
                                                                    </a:xfrm>
                                                                  </wpg:grpSpPr>
                                                                  <wps:wsp>
                                                                    <wps:cNvPr id="66" name="文本框 41"/>
                                                                    <wps:cNvSpPr txBox="1"/>
                                                                    <wps:spPr>
                                                                      <a:xfrm>
                                                                        <a:off x="6207" y="2341"/>
                                                                        <a:ext cx="2293" cy="680"/>
                                                                      </a:xfrm>
                                                                      <a:prstGeom prst="rect">
                                                                        <a:avLst/>
                                                                      </a:prstGeom>
                                                                      <a:noFill/>
                                                                      <a:ln w="9525">
                                                                        <a:noFill/>
                                                                      </a:ln>
                                                                    </wps:spPr>
                                                                    <wps:txbx>
                                                                      <w:txbxContent>
                                                                        <w:p>
                                                                          <w:pPr>
                                                                            <w:spacing w:line="240" w:lineRule="auto"/>
                                                                            <w:ind w:firstLine="0" w:firstLineChars="0"/>
                                                                            <w:jc w:val="left"/>
                                                                            <w:rPr>
                                                                              <w:sz w:val="18"/>
                                                                            </w:rPr>
                                                                          </w:pPr>
                                                                          <w:r>
                                                                            <w:rPr>
                                                                              <w:rFonts w:hint="eastAsia"/>
                                                                              <w:sz w:val="18"/>
                                                                            </w:rPr>
                                                                            <w:t>检查表法，评分法，概率评价法</w:t>
                                                                          </w:r>
                                                                        </w:p>
                                                                      </w:txbxContent>
                                                                    </wps:txbx>
                                                                    <wps:bodyPr upright="1"/>
                                                                  </wps:wsp>
                                                                  <wpg:grpSp>
                                                                    <wpg:cNvPr id="120" name="组合 42"/>
                                                                    <wpg:cNvGrpSpPr/>
                                                                    <wpg:grpSpPr>
                                                                      <a:xfrm>
                                                                        <a:off x="1141" y="1705"/>
                                                                        <a:ext cx="6854" cy="12049"/>
                                                                        <a:chOff x="1141" y="1705"/>
                                                                        <a:chExt cx="6854" cy="12049"/>
                                                                      </a:xfrm>
                                                                    </wpg:grpSpPr>
                                                                    <wps:wsp>
                                                                      <wps:cNvPr id="67" name="文本框 43"/>
                                                                      <wps:cNvSpPr txBox="1"/>
                                                                      <wps:spPr>
                                                                        <a:xfrm>
                                                                          <a:off x="7112" y="3612"/>
                                                                          <a:ext cx="866" cy="495"/>
                                                                        </a:xfrm>
                                                                        <a:prstGeom prst="rect">
                                                                          <a:avLst/>
                                                                        </a:prstGeom>
                                                                        <a:noFill/>
                                                                        <a:ln w="9525">
                                                                          <a:noFill/>
                                                                        </a:ln>
                                                                      </wps:spPr>
                                                                      <wps:txbx>
                                                                        <w:txbxContent>
                                                                          <w:p>
                                                                            <w:pPr>
                                                                              <w:spacing w:line="240" w:lineRule="auto"/>
                                                                              <w:ind w:firstLine="0" w:firstLineChars="0"/>
                                                                              <w:jc w:val="left"/>
                                                                              <w:rPr>
                                                                                <w:sz w:val="18"/>
                                                                              </w:rPr>
                                                                            </w:pPr>
                                                                            <w:r>
                                                                              <w:rPr>
                                                                                <w:rFonts w:hint="eastAsia"/>
                                                                                <w:sz w:val="18"/>
                                                                              </w:rPr>
                                                                              <w:t>加权法</w:t>
                                                                            </w:r>
                                                                          </w:p>
                                                                        </w:txbxContent>
                                                                      </wps:txbx>
                                                                      <wps:bodyPr upright="1"/>
                                                                    </wps:wsp>
                                                                    <wpg:grpSp>
                                                                      <wpg:cNvPr id="119" name="组合 44"/>
                                                                      <wpg:cNvGrpSpPr/>
                                                                      <wpg:grpSpPr>
                                                                        <a:xfrm>
                                                                          <a:off x="1141" y="1705"/>
                                                                          <a:ext cx="6854" cy="12049"/>
                                                                          <a:chOff x="1141" y="1705"/>
                                                                          <a:chExt cx="6854" cy="12049"/>
                                                                        </a:xfrm>
                                                                      </wpg:grpSpPr>
                                                                      <wps:wsp>
                                                                        <wps:cNvPr id="68" name="文本框 45"/>
                                                                        <wps:cNvSpPr txBox="1"/>
                                                                        <wps:spPr>
                                                                          <a:xfrm>
                                                                            <a:off x="7129" y="3021"/>
                                                                            <a:ext cx="866" cy="495"/>
                                                                          </a:xfrm>
                                                                          <a:prstGeom prst="rect">
                                                                            <a:avLst/>
                                                                          </a:prstGeom>
                                                                          <a:noFill/>
                                                                          <a:ln w="9525">
                                                                            <a:noFill/>
                                                                          </a:ln>
                                                                        </wps:spPr>
                                                                        <wps:txbx>
                                                                          <w:txbxContent>
                                                                            <w:p>
                                                                              <w:pPr>
                                                                                <w:spacing w:line="240" w:lineRule="auto"/>
                                                                                <w:ind w:firstLine="0" w:firstLineChars="0"/>
                                                                                <w:jc w:val="left"/>
                                                                                <w:rPr>
                                                                                  <w:sz w:val="18"/>
                                                                                </w:rPr>
                                                                              </w:pPr>
                                                                              <w:r>
                                                                                <w:rPr>
                                                                                  <w:rFonts w:hint="eastAsia"/>
                                                                                  <w:sz w:val="18"/>
                                                                                </w:rPr>
                                                                                <w:t>类比法</w:t>
                                                                              </w:r>
                                                                            </w:p>
                                                                          </w:txbxContent>
                                                                        </wps:txbx>
                                                                        <wps:bodyPr upright="1"/>
                                                                      </wps:wsp>
                                                                      <wpg:grpSp>
                                                                        <wpg:cNvPr id="118" name="组合 46"/>
                                                                        <wpg:cNvGrpSpPr/>
                                                                        <wpg:grpSpPr>
                                                                          <a:xfrm>
                                                                            <a:off x="1141" y="1705"/>
                                                                            <a:ext cx="6854" cy="12049"/>
                                                                            <a:chOff x="1141" y="1705"/>
                                                                            <a:chExt cx="6854" cy="12049"/>
                                                                          </a:xfrm>
                                                                        </wpg:grpSpPr>
                                                                        <wps:wsp>
                                                                          <wps:cNvPr id="69" name="文本框 47"/>
                                                                          <wps:cNvSpPr txBox="1"/>
                                                                          <wps:spPr>
                                                                            <a:xfrm>
                                                                              <a:off x="7112" y="4983"/>
                                                                              <a:ext cx="866" cy="495"/>
                                                                            </a:xfrm>
                                                                            <a:prstGeom prst="rect">
                                                                              <a:avLst/>
                                                                            </a:prstGeom>
                                                                            <a:noFill/>
                                                                            <a:ln w="9525">
                                                                              <a:noFill/>
                                                                            </a:ln>
                                                                          </wps:spPr>
                                                                          <wps:txbx>
                                                                            <w:txbxContent>
                                                                              <w:p>
                                                                                <w:pPr>
                                                                                  <w:spacing w:line="240" w:lineRule="auto"/>
                                                                                  <w:ind w:firstLine="0" w:firstLineChars="0"/>
                                                                                  <w:jc w:val="left"/>
                                                                                  <w:rPr>
                                                                                    <w:sz w:val="18"/>
                                                                                  </w:rPr>
                                                                                </w:pPr>
                                                                                <w:r>
                                                                                  <w:rPr>
                                                                                    <w:rFonts w:hint="eastAsia"/>
                                                                                    <w:sz w:val="18"/>
                                                                                  </w:rPr>
                                                                                  <w:t>概率法</w:t>
                                                                                </w:r>
                                                                              </w:p>
                                                                            </w:txbxContent>
                                                                          </wps:txbx>
                                                                          <wps:bodyPr upright="1"/>
                                                                        </wps:wsp>
                                                                        <wpg:grpSp>
                                                                          <wpg:cNvPr id="117" name="组合 48"/>
                                                                          <wpg:cNvGrpSpPr/>
                                                                          <wpg:grpSpPr>
                                                                            <a:xfrm>
                                                                              <a:off x="1141" y="1705"/>
                                                                              <a:ext cx="6854" cy="12049"/>
                                                                              <a:chOff x="1141" y="1705"/>
                                                                              <a:chExt cx="6854" cy="12049"/>
                                                                            </a:xfrm>
                                                                          </wpg:grpSpPr>
                                                                          <wps:wsp>
                                                                            <wps:cNvPr id="70" name="文本框 49"/>
                                                                            <wps:cNvSpPr txBox="1"/>
                                                                            <wps:spPr>
                                                                              <a:xfrm>
                                                                                <a:off x="7129" y="4620"/>
                                                                                <a:ext cx="866" cy="495"/>
                                                                              </a:xfrm>
                                                                              <a:prstGeom prst="rect">
                                                                                <a:avLst/>
                                                                              </a:prstGeom>
                                                                              <a:noFill/>
                                                                              <a:ln w="9525">
                                                                                <a:noFill/>
                                                                              </a:ln>
                                                                            </wps:spPr>
                                                                            <wps:txbx>
                                                                              <w:txbxContent>
                                                                                <w:p>
                                                                                  <w:pPr>
                                                                                    <w:spacing w:line="240" w:lineRule="auto"/>
                                                                                    <w:ind w:firstLine="0" w:firstLineChars="0"/>
                                                                                    <w:jc w:val="left"/>
                                                                                    <w:rPr>
                                                                                      <w:sz w:val="18"/>
                                                                                    </w:rPr>
                                                                                  </w:pPr>
                                                                                  <w:r>
                                                                                    <w:rPr>
                                                                                      <w:rFonts w:hint="eastAsia"/>
                                                                                      <w:sz w:val="18"/>
                                                                                    </w:rPr>
                                                                                    <w:t>指数法</w:t>
                                                                                  </w:r>
                                                                                </w:p>
                                                                              </w:txbxContent>
                                                                            </wps:txbx>
                                                                            <wps:bodyPr upright="1"/>
                                                                          </wps:wsp>
                                                                          <wpg:grpSp>
                                                                            <wpg:cNvPr id="116" name="组合 50"/>
                                                                            <wpg:cNvGrpSpPr/>
                                                                            <wpg:grpSpPr>
                                                                              <a:xfrm>
                                                                                <a:off x="1141" y="1705"/>
                                                                                <a:ext cx="6513" cy="12049"/>
                                                                                <a:chOff x="1141" y="1705"/>
                                                                                <a:chExt cx="6513" cy="12049"/>
                                                                              </a:xfrm>
                                                                            </wpg:grpSpPr>
                                                                            <wps:wsp>
                                                                              <wps:cNvPr id="71" name="文本框 51"/>
                                                                              <wps:cNvSpPr txBox="1"/>
                                                                              <wps:spPr>
                                                                                <a:xfrm>
                                                                                  <a:off x="6135" y="4983"/>
                                                                                  <a:ext cx="659" cy="495"/>
                                                                                </a:xfrm>
                                                                                <a:prstGeom prst="rect">
                                                                                  <a:avLst/>
                                                                                </a:prstGeom>
                                                                                <a:noFill/>
                                                                                <a:ln w="9525">
                                                                                  <a:noFill/>
                                                                                </a:ln>
                                                                              </wps:spPr>
                                                                              <wps:txbx>
                                                                                <w:txbxContent>
                                                                                  <w:p>
                                                                                    <w:pPr>
                                                                                      <w:spacing w:line="240" w:lineRule="auto"/>
                                                                                      <w:ind w:firstLine="0" w:firstLineChars="0"/>
                                                                                      <w:jc w:val="left"/>
                                                                                      <w:rPr>
                                                                                        <w:sz w:val="18"/>
                                                                                      </w:rPr>
                                                                                    </w:pPr>
                                                                                    <w:r>
                                                                                      <w:rPr>
                                                                                        <w:rFonts w:hint="eastAsia"/>
                                                                                        <w:sz w:val="18"/>
                                                                                      </w:rPr>
                                                                                      <w:t>定量</w:t>
                                                                                    </w:r>
                                                                                  </w:p>
                                                                                </w:txbxContent>
                                                                              </wps:txbx>
                                                                              <wps:bodyPr upright="1"/>
                                                                            </wps:wsp>
                                                                            <wpg:grpSp>
                                                                              <wpg:cNvPr id="115" name="组合 52"/>
                                                                              <wpg:cNvGrpSpPr/>
                                                                              <wpg:grpSpPr>
                                                                                <a:xfrm>
                                                                                  <a:off x="1141" y="1705"/>
                                                                                  <a:ext cx="6513" cy="12049"/>
                                                                                  <a:chOff x="1141" y="1705"/>
                                                                                  <a:chExt cx="6513" cy="12049"/>
                                                                                </a:xfrm>
                                                                              </wpg:grpSpPr>
                                                                              <wpg:grpSp>
                                                                                <wpg:cNvPr id="109" name="组合 53"/>
                                                                                <wpg:cNvGrpSpPr/>
                                                                                <wpg:grpSpPr>
                                                                                  <a:xfrm>
                                                                                    <a:off x="1141" y="1705"/>
                                                                                    <a:ext cx="6513" cy="12049"/>
                                                                                    <a:chOff x="1141" y="1705"/>
                                                                                    <a:chExt cx="6513" cy="12049"/>
                                                                                  </a:xfrm>
                                                                                </wpg:grpSpPr>
                                                                                <wpg:grpSp>
                                                                                  <wpg:cNvPr id="107" name="组合 54"/>
                                                                                  <wpg:cNvGrpSpPr/>
                                                                                  <wpg:grpSpPr>
                                                                                    <a:xfrm>
                                                                                      <a:off x="1141" y="1705"/>
                                                                                      <a:ext cx="6513" cy="12049"/>
                                                                                      <a:chOff x="1141" y="1705"/>
                                                                                      <a:chExt cx="6513" cy="12049"/>
                                                                                    </a:xfrm>
                                                                                  </wpg:grpSpPr>
                                                                                  <wps:wsp>
                                                                                    <wps:cNvPr id="72" name="文本框 55"/>
                                                                                    <wps:cNvSpPr txBox="1"/>
                                                                                    <wps:spPr>
                                                                                      <a:xfrm>
                                                                                        <a:off x="6791" y="1729"/>
                                                                                        <a:ext cx="863" cy="645"/>
                                                                                      </a:xfrm>
                                                                                      <a:prstGeom prst="rect">
                                                                                        <a:avLst/>
                                                                                      </a:prstGeom>
                                                                                      <a:noFill/>
                                                                                      <a:ln w="9525">
                                                                                        <a:noFill/>
                                                                                      </a:ln>
                                                                                    </wps:spPr>
                                                                                    <wps:txbx>
                                                                                      <w:txbxContent>
                                                                                        <w:p>
                                                                                          <w:pPr>
                                                                                            <w:ind w:firstLine="0" w:firstLineChars="0"/>
                                                                                            <w:jc w:val="left"/>
                                                                                            <w:rPr>
                                                                                              <w:sz w:val="21"/>
                                                                                            </w:rPr>
                                                                                          </w:pPr>
                                                                                          <w:r>
                                                                                            <w:rPr>
                                                                                              <w:rFonts w:hint="eastAsia"/>
                                                                                              <w:sz w:val="21"/>
                                                                                            </w:rPr>
                                                                                            <w:t>方法</w:t>
                                                                                          </w:r>
                                                                                        </w:p>
                                                                                      </w:txbxContent>
                                                                                    </wps:txbx>
                                                                                    <wps:bodyPr upright="1"/>
                                                                                  </wps:wsp>
                                                                                  <wpg:grpSp>
                                                                                    <wpg:cNvPr id="106" name="组合 56"/>
                                                                                    <wpg:cNvGrpSpPr/>
                                                                                    <wpg:grpSpPr>
                                                                                      <a:xfrm>
                                                                                        <a:off x="1141" y="1705"/>
                                                                                        <a:ext cx="4515" cy="12049"/>
                                                                                        <a:chOff x="1141" y="1705"/>
                                                                                        <a:chExt cx="4515" cy="12049"/>
                                                                                      </a:xfrm>
                                                                                    </wpg:grpSpPr>
                                                                                    <wps:wsp>
                                                                                      <wps:cNvPr id="73" name="文本框 57"/>
                                                                                      <wps:cNvSpPr txBox="1"/>
                                                                                      <wps:spPr>
                                                                                        <a:xfrm>
                                                                                          <a:off x="3363" y="2350"/>
                                                                                          <a:ext cx="2293" cy="772"/>
                                                                                        </a:xfrm>
                                                                                        <a:prstGeom prst="rect">
                                                                                          <a:avLst/>
                                                                                        </a:prstGeom>
                                                                                        <a:noFill/>
                                                                                        <a:ln w="9525">
                                                                                          <a:noFill/>
                                                                                        </a:ln>
                                                                                      </wps:spPr>
                                                                                      <wps:txbx>
                                                                                        <w:txbxContent>
                                                                                          <w:p>
                                                                                            <w:pPr>
                                                                                              <w:spacing w:line="240" w:lineRule="auto"/>
                                                                                              <w:ind w:firstLine="0" w:firstLineChars="0"/>
                                                                                              <w:jc w:val="left"/>
                                                                                              <w:rPr>
                                                                                                <w:sz w:val="18"/>
                                                                                              </w:rPr>
                                                                                            </w:pPr>
                                                                                            <w:r>
                                                                                              <w:rPr>
                                                                                                <w:rFonts w:hint="eastAsia"/>
                                                                                                <w:sz w:val="18"/>
                                                                                              </w:rPr>
                                                                                              <w:t>原料、辅料、中间和最终产品、工厂综合评价法</w:t>
                                                                                            </w:r>
                                                                                          </w:p>
                                                                                        </w:txbxContent>
                                                                                      </wps:txbx>
                                                                                      <wps:bodyPr upright="1"/>
                                                                                    </wps:wsp>
                                                                                    <wpg:grpSp>
                                                                                      <wpg:cNvPr id="105" name="组合 58"/>
                                                                                      <wpg:cNvGrpSpPr/>
                                                                                      <wpg:grpSpPr>
                                                                                        <a:xfrm>
                                                                                          <a:off x="1141" y="1705"/>
                                                                                          <a:ext cx="3713" cy="12049"/>
                                                                                          <a:chOff x="1141" y="1705"/>
                                                                                          <a:chExt cx="3713" cy="12049"/>
                                                                                        </a:xfrm>
                                                                                      </wpg:grpSpPr>
                                                                                      <wps:wsp>
                                                                                        <wps:cNvPr id="74" name="文本框 59"/>
                                                                                        <wps:cNvSpPr txBox="1"/>
                                                                                        <wps:spPr>
                                                                                          <a:xfrm>
                                                                                            <a:off x="3991" y="1705"/>
                                                                                            <a:ext cx="863" cy="645"/>
                                                                                          </a:xfrm>
                                                                                          <a:prstGeom prst="rect">
                                                                                            <a:avLst/>
                                                                                          </a:prstGeom>
                                                                                          <a:noFill/>
                                                                                          <a:ln w="9525">
                                                                                            <a:noFill/>
                                                                                          </a:ln>
                                                                                        </wps:spPr>
                                                                                        <wps:txbx>
                                                                                          <w:txbxContent>
                                                                                            <w:p>
                                                                                              <w:pPr>
                                                                                                <w:ind w:firstLine="0" w:firstLineChars="0"/>
                                                                                                <w:jc w:val="left"/>
                                                                                                <w:rPr>
                                                                                                  <w:sz w:val="21"/>
                                                                                                </w:rPr>
                                                                                              </w:pPr>
                                                                                              <w:r>
                                                                                                <w:rPr>
                                                                                                  <w:rFonts w:hint="eastAsia"/>
                                                                                                  <w:sz w:val="21"/>
                                                                                                </w:rPr>
                                                                                                <w:t>对象</w:t>
                                                                                              </w:r>
                                                                                            </w:p>
                                                                                          </w:txbxContent>
                                                                                        </wps:txbx>
                                                                                        <wps:bodyPr upright="1"/>
                                                                                      </wps:wsp>
                                                                                      <wpg:grpSp>
                                                                                        <wpg:cNvPr id="104" name="组合 60"/>
                                                                                        <wpg:cNvGrpSpPr/>
                                                                                        <wpg:grpSpPr>
                                                                                          <a:xfrm>
                                                                                            <a:off x="1141" y="1705"/>
                                                                                            <a:ext cx="2573" cy="12049"/>
                                                                                            <a:chOff x="1141" y="1705"/>
                                                                                            <a:chExt cx="2573" cy="12049"/>
                                                                                          </a:xfrm>
                                                                                        </wpg:grpSpPr>
                                                                                        <wps:wsp>
                                                                                          <wps:cNvPr id="75" name="文本框 61"/>
                                                                                          <wps:cNvSpPr txBox="1"/>
                                                                                          <wps:spPr>
                                                                                            <a:xfrm>
                                                                                              <a:off x="1889" y="1705"/>
                                                                                              <a:ext cx="863" cy="645"/>
                                                                                            </a:xfrm>
                                                                                            <a:prstGeom prst="rect">
                                                                                              <a:avLst/>
                                                                                            </a:prstGeom>
                                                                                            <a:noFill/>
                                                                                            <a:ln w="9525">
                                                                                              <a:noFill/>
                                                                                            </a:ln>
                                                                                          </wps:spPr>
                                                                                          <wps:txbx>
                                                                                            <w:txbxContent>
                                                                                              <w:p>
                                                                                                <w:pPr>
                                                                                                  <w:ind w:firstLine="0" w:firstLineChars="0"/>
                                                                                                  <w:jc w:val="left"/>
                                                                                                  <w:rPr>
                                                                                                    <w:sz w:val="21"/>
                                                                                                  </w:rPr>
                                                                                                </w:pPr>
                                                                                                <w:r>
                                                                                                  <w:rPr>
                                                                                                    <w:rFonts w:hint="eastAsia"/>
                                                                                                    <w:sz w:val="21"/>
                                                                                                  </w:rPr>
                                                                                                  <w:t>步骤</w:t>
                                                                                                </w:r>
                                                                                              </w:p>
                                                                                            </w:txbxContent>
                                                                                          </wps:txbx>
                                                                                          <wps:bodyPr upright="1"/>
                                                                                        </wps:wsp>
                                                                                        <wpg:grpSp>
                                                                                          <wpg:cNvPr id="103" name="组合 62"/>
                                                                                          <wpg:cNvGrpSpPr/>
                                                                                          <wpg:grpSpPr>
                                                                                            <a:xfrm>
                                                                                              <a:off x="1141" y="2592"/>
                                                                                              <a:ext cx="2573" cy="11162"/>
                                                                                              <a:chOff x="1141" y="2592"/>
                                                                                              <a:chExt cx="2573" cy="11162"/>
                                                                                            </a:xfrm>
                                                                                          </wpg:grpSpPr>
                                                                                          <wps:wsp>
                                                                                            <wps:cNvPr id="76" name="文本框 63"/>
                                                                                            <wps:cNvSpPr txBox="1"/>
                                                                                            <wps:spPr>
                                                                                              <a:xfrm>
                                                                                                <a:off x="1602" y="9550"/>
                                                                                                <a:ext cx="1368" cy="737"/>
                                                                                              </a:xfrm>
                                                                                              <a:prstGeom prst="rect">
                                                                                                <a:avLst/>
                                                                                              </a:prstGeom>
                                                                                              <a:noFill/>
                                                                                              <a:ln w="9525">
                                                                                                <a:noFill/>
                                                                                              </a:ln>
                                                                                            </wps:spPr>
                                                                                            <wps:txbx>
                                                                                              <w:txbxContent>
                                                                                                <w:p>
                                                                                                  <w:pPr>
                                                                                                    <w:spacing w:line="240" w:lineRule="auto"/>
                                                                                                    <w:ind w:firstLine="315" w:firstLineChars="150"/>
                                                                                                    <w:jc w:val="left"/>
                                                                                                    <w:rPr>
                                                                                                      <w:sz w:val="21"/>
                                                                                                    </w:rPr>
                                                                                                  </w:pPr>
                                                                                                  <w:r>
                                                                                                    <w:rPr>
                                                                                                      <w:rFonts w:hint="eastAsia"/>
                                                                                                      <w:sz w:val="21"/>
                                                                                                    </w:rPr>
                                                                                                    <w:t>风险</w:t>
                                                                                                  </w:r>
                                                                                                </w:p>
                                                                                                <w:p>
                                                                                                  <w:pPr>
                                                                                                    <w:spacing w:line="240" w:lineRule="auto"/>
                                                                                                    <w:ind w:firstLine="0" w:firstLineChars="0"/>
                                                                                                    <w:jc w:val="left"/>
                                                                                                    <w:rPr>
                                                                                                      <w:sz w:val="21"/>
                                                                                                    </w:rPr>
                                                                                                  </w:pPr>
                                                                                                  <w:r>
                                                                                                    <w:rPr>
                                                                                                      <w:rFonts w:hint="eastAsia"/>
                                                                                                      <w:sz w:val="21"/>
                                                                                                    </w:rPr>
                                                                                                    <w:t>可接受水平</w:t>
                                                                                                  </w:r>
                                                                                                </w:p>
                                                                                              </w:txbxContent>
                                                                                            </wps:txbx>
                                                                                            <wps:bodyPr upright="1"/>
                                                                                          </wps:wsp>
                                                                                          <wpg:grpSp>
                                                                                            <wpg:cNvPr id="102" name="组合 64"/>
                                                                                            <wpg:cNvGrpSpPr/>
                                                                                            <wpg:grpSpPr>
                                                                                              <a:xfrm>
                                                                                                <a:off x="1141" y="2592"/>
                                                                                                <a:ext cx="2573" cy="11162"/>
                                                                                                <a:chOff x="1141" y="2592"/>
                                                                                                <a:chExt cx="2573" cy="11162"/>
                                                                                              </a:xfrm>
                                                                                            </wpg:grpSpPr>
                                                                                            <wps:wsp>
                                                                                              <wps:cNvPr id="77" name="文本框 65"/>
                                                                                              <wps:cNvSpPr txBox="1"/>
                                                                                              <wps:spPr>
                                                                                                <a:xfrm>
                                                                                                  <a:off x="3086" y="9977"/>
                                                                                                  <a:ext cx="628" cy="507"/>
                                                                                                </a:xfrm>
                                                                                                <a:prstGeom prst="rect">
                                                                                                  <a:avLst/>
                                                                                                </a:prstGeom>
                                                                                                <a:noFill/>
                                                                                                <a:ln w="9525">
                                                                                                  <a:noFill/>
                                                                                                </a:ln>
                                                                                              </wps:spPr>
                                                                                              <wps:txbx>
                                                                                                <w:txbxContent>
                                                                                                  <w:p>
                                                                                                    <w:pPr>
                                                                                                      <w:spacing w:line="240" w:lineRule="auto"/>
                                                                                                      <w:ind w:firstLine="0" w:firstLineChars="0"/>
                                                                                                      <w:jc w:val="left"/>
                                                                                                      <w:rPr>
                                                                                                        <w:sz w:val="18"/>
                                                                                                      </w:rPr>
                                                                                                    </w:pPr>
                                                                                                    <w:r>
                                                                                                      <w:rPr>
                                                                                                        <w:rFonts w:hint="eastAsia"/>
                                                                                                        <w:sz w:val="18"/>
                                                                                                      </w:rPr>
                                                                                                      <w:t>是</w:t>
                                                                                                    </w:r>
                                                                                                  </w:p>
                                                                                                </w:txbxContent>
                                                                                              </wps:txbx>
                                                                                              <wps:bodyPr upright="1"/>
                                                                                            </wps:wsp>
                                                                                            <wpg:grpSp>
                                                                                              <wpg:cNvPr id="101" name="组合 66"/>
                                                                                              <wpg:cNvGrpSpPr/>
                                                                                              <wpg:grpSpPr>
                                                                                                <a:xfrm>
                                                                                                  <a:off x="1141" y="2592"/>
                                                                                                  <a:ext cx="2057" cy="11162"/>
                                                                                                  <a:chOff x="1141" y="2592"/>
                                                                                                  <a:chExt cx="2057" cy="11162"/>
                                                                                                </a:xfrm>
                                                                                              </wpg:grpSpPr>
                                                                                              <wpg:grpSp>
                                                                                                <wpg:cNvPr id="97" name="组合 67"/>
                                                                                                <wpg:cNvGrpSpPr/>
                                                                                                <wpg:grpSpPr>
                                                                                                  <a:xfrm>
                                                                                                    <a:off x="1141" y="2592"/>
                                                                                                    <a:ext cx="2057" cy="11162"/>
                                                                                                    <a:chOff x="1141" y="2592"/>
                                                                                                    <a:chExt cx="2057" cy="11162"/>
                                                                                                  </a:xfrm>
                                                                                                </wpg:grpSpPr>
                                                                                                <wps:wsp>
                                                                                                  <wps:cNvPr id="78" name="文本框 68"/>
                                                                                                  <wps:cNvSpPr txBox="1"/>
                                                                                                  <wps:spPr>
                                                                                                    <a:xfrm>
                                                                                                      <a:off x="1602" y="13109"/>
                                                                                                      <a:ext cx="1199" cy="645"/>
                                                                                                    </a:xfrm>
                                                                                                    <a:prstGeom prst="rect">
                                                                                                      <a:avLst/>
                                                                                                    </a:prstGeom>
                                                                                                    <a:noFill/>
                                                                                                    <a:ln w="9525" cap="flat" cmpd="sng">
                                                                                                      <a:solidFill>
                                                                                                        <a:srgbClr val="000000"/>
                                                                                                      </a:solidFill>
                                                                                                      <a:prstDash val="solid"/>
                                                                                                      <a:miter/>
                                                                                                      <a:headEnd type="none" w="med" len="med"/>
                                                                                                      <a:tailEnd type="none" w="med" len="med"/>
                                                                                                    </a:ln>
                                                                                                  </wps:spPr>
                                                                                                  <wps:txbx>
                                                                                                    <w:txbxContent>
                                                                                                      <w:p>
                                                                                                        <w:pPr>
                                                                                                          <w:ind w:firstLine="0" w:firstLineChars="0"/>
                                                                                                          <w:jc w:val="left"/>
                                                                                                          <w:rPr>
                                                                                                            <w:sz w:val="21"/>
                                                                                                          </w:rPr>
                                                                                                        </w:pPr>
                                                                                                        <w:r>
                                                                                                          <w:rPr>
                                                                                                            <w:rFonts w:hint="eastAsia"/>
                                                                                                            <w:sz w:val="21"/>
                                                                                                          </w:rPr>
                                                                                                          <w:t>应急措施</w:t>
                                                                                                        </w:r>
                                                                                                      </w:p>
                                                                                                    </w:txbxContent>
                                                                                                  </wps:txbx>
                                                                                                  <wps:bodyPr upright="1"/>
                                                                                                </wps:wsp>
                                                                                                <wps:wsp>
                                                                                                  <wps:cNvPr id="79" name="自选图形 69"/>
                                                                                                  <wps:cNvCnPr/>
                                                                                                  <wps:spPr>
                                                                                                    <a:xfrm flipH="1">
                                                                                                      <a:off x="1141" y="13422"/>
                                                                                                      <a:ext cx="461" cy="0"/>
                                                                                                    </a:xfrm>
                                                                                                    <a:prstGeom prst="straightConnector1">
                                                                                                      <a:avLst/>
                                                                                                    </a:prstGeom>
                                                                                                    <a:ln w="9525" cap="flat" cmpd="sng">
                                                                                                      <a:solidFill>
                                                                                                        <a:srgbClr val="000000"/>
                                                                                                      </a:solidFill>
                                                                                                      <a:prstDash val="solid"/>
                                                                                                      <a:headEnd type="none" w="med" len="med"/>
                                                                                                      <a:tailEnd type="none" w="med" len="med"/>
                                                                                                    </a:ln>
                                                                                                  </wps:spPr>
                                                                                                  <wps:bodyPr/>
                                                                                                </wps:wsp>
                                                                                                <wps:wsp>
                                                                                                  <wps:cNvPr id="80" name="自选图形 70"/>
                                                                                                  <wps:cNvCnPr/>
                                                                                                  <wps:spPr>
                                                                                                    <a:xfrm flipV="1">
                                                                                                      <a:off x="1141" y="4863"/>
                                                                                                      <a:ext cx="0" cy="8559"/>
                                                                                                    </a:xfrm>
                                                                                                    <a:prstGeom prst="straightConnector1">
                                                                                                      <a:avLst/>
                                                                                                    </a:prstGeom>
                                                                                                    <a:ln w="9525" cap="flat" cmpd="sng">
                                                                                                      <a:solidFill>
                                                                                                        <a:srgbClr val="000000"/>
                                                                                                      </a:solidFill>
                                                                                                      <a:prstDash val="solid"/>
                                                                                                      <a:headEnd type="none" w="med" len="med"/>
                                                                                                      <a:tailEnd type="none" w="med" len="med"/>
                                                                                                    </a:ln>
                                                                                                  </wps:spPr>
                                                                                                  <wps:bodyPr/>
                                                                                                </wps:wsp>
                                                                                                <wpg:grpSp>
                                                                                                  <wpg:cNvPr id="93" name="组合 71"/>
                                                                                                  <wpg:cNvGrpSpPr/>
                                                                                                  <wpg:grpSpPr>
                                                                                                    <a:xfrm>
                                                                                                      <a:off x="1141" y="2592"/>
                                                                                                      <a:ext cx="2057" cy="9527"/>
                                                                                                      <a:chOff x="1141" y="2592"/>
                                                                                                      <a:chExt cx="2057" cy="9527"/>
                                                                                                    </a:xfrm>
                                                                                                  </wpg:grpSpPr>
                                                                                                  <wpg:grpSp>
                                                                                                    <wpg:cNvPr id="85" name="组合 72"/>
                                                                                                    <wpg:cNvGrpSpPr/>
                                                                                                    <wpg:grpSpPr>
                                                                                                      <a:xfrm>
                                                                                                        <a:off x="1668" y="2592"/>
                                                                                                        <a:ext cx="1199" cy="3756"/>
                                                                                                        <a:chOff x="1668" y="2592"/>
                                                                                                        <a:chExt cx="1199" cy="3756"/>
                                                                                                      </a:xfrm>
                                                                                                    </wpg:grpSpPr>
                                                                                                    <wps:wsp>
                                                                                                      <wps:cNvPr id="81" name="文本框 73"/>
                                                                                                      <wps:cNvSpPr txBox="1"/>
                                                                                                      <wps:spPr>
                                                                                                        <a:xfrm>
                                                                                                          <a:off x="1668" y="2592"/>
                                                                                                          <a:ext cx="1199" cy="645"/>
                                                                                                        </a:xfrm>
                                                                                                        <a:prstGeom prst="rect">
                                                                                                          <a:avLst/>
                                                                                                        </a:prstGeom>
                                                                                                        <a:noFill/>
                                                                                                        <a:ln w="9525" cap="flat" cmpd="sng">
                                                                                                          <a:solidFill>
                                                                                                            <a:srgbClr val="000000"/>
                                                                                                          </a:solidFill>
                                                                                                          <a:prstDash val="solid"/>
                                                                                                          <a:miter/>
                                                                                                          <a:headEnd type="none" w="med" len="med"/>
                                                                                                          <a:tailEnd type="none" w="med" len="med"/>
                                                                                                        </a:ln>
                                                                                                      </wps:spPr>
                                                                                                      <wps:txbx>
                                                                                                        <w:txbxContent>
                                                                                                          <w:p>
                                                                                                            <w:pPr>
                                                                                                              <w:ind w:firstLine="0" w:firstLineChars="0"/>
                                                                                                              <w:jc w:val="left"/>
                                                                                                              <w:rPr>
                                                                                                                <w:sz w:val="21"/>
                                                                                                              </w:rPr>
                                                                                                            </w:pPr>
                                                                                                            <w:r>
                                                                                                              <w:rPr>
                                                                                                                <w:rFonts w:hint="eastAsia"/>
                                                                                                                <w:sz w:val="21"/>
                                                                                                              </w:rPr>
                                                                                                              <w:t>风险识别</w:t>
                                                                                                            </w:r>
                                                                                                          </w:p>
                                                                                                        </w:txbxContent>
                                                                                                      </wps:txbx>
                                                                                                      <wps:bodyPr upright="1"/>
                                                                                                    </wps:wsp>
                                                                                                    <wps:wsp>
                                                                                                      <wps:cNvPr id="82" name="自选图形 74"/>
                                                                                                      <wps:cNvCnPr/>
                                                                                                      <wps:spPr>
                                                                                                        <a:xfrm>
                                                                                                          <a:off x="2269" y="3237"/>
                                                                                                          <a:ext cx="0" cy="1233"/>
                                                                                                        </a:xfrm>
                                                                                                        <a:prstGeom prst="straightConnector1">
                                                                                                          <a:avLst/>
                                                                                                        </a:prstGeom>
                                                                                                        <a:ln w="9525" cap="flat" cmpd="sng">
                                                                                                          <a:solidFill>
                                                                                                            <a:srgbClr val="000000"/>
                                                                                                          </a:solidFill>
                                                                                                          <a:prstDash val="solid"/>
                                                                                                          <a:headEnd type="none" w="med" len="med"/>
                                                                                                          <a:tailEnd type="triangle" w="med" len="med"/>
                                                                                                        </a:ln>
                                                                                                      </wps:spPr>
                                                                                                      <wps:bodyPr/>
                                                                                                    </wps:wsp>
                                                                                                    <wps:wsp>
                                                                                                      <wps:cNvPr id="83" name="文本框 75"/>
                                                                                                      <wps:cNvSpPr txBox="1"/>
                                                                                                      <wps:spPr>
                                                                                                        <a:xfrm>
                                                                                                          <a:off x="1668" y="4470"/>
                                                                                                          <a:ext cx="1199" cy="645"/>
                                                                                                        </a:xfrm>
                                                                                                        <a:prstGeom prst="rect">
                                                                                                          <a:avLst/>
                                                                                                        </a:prstGeom>
                                                                                                        <a:noFill/>
                                                                                                        <a:ln w="9525" cap="flat" cmpd="sng">
                                                                                                          <a:solidFill>
                                                                                                            <a:srgbClr val="000000"/>
                                                                                                          </a:solidFill>
                                                                                                          <a:prstDash val="solid"/>
                                                                                                          <a:miter/>
                                                                                                          <a:headEnd type="none" w="med" len="med"/>
                                                                                                          <a:tailEnd type="none" w="med" len="med"/>
                                                                                                        </a:ln>
                                                                                                      </wps:spPr>
                                                                                                      <wps:txbx>
                                                                                                        <w:txbxContent>
                                                                                                          <w:p>
                                                                                                            <w:pPr>
                                                                                                              <w:ind w:firstLine="0" w:firstLineChars="0"/>
                                                                                                              <w:jc w:val="left"/>
                                                                                                              <w:rPr>
                                                                                                                <w:sz w:val="21"/>
                                                                                                              </w:rPr>
                                                                                                            </w:pPr>
                                                                                                            <w:r>
                                                                                                              <w:rPr>
                                                                                                                <w:rFonts w:hint="eastAsia"/>
                                                                                                                <w:sz w:val="21"/>
                                                                                                              </w:rPr>
                                                                                                              <w:t>源项分析</w:t>
                                                                                                            </w:r>
                                                                                                          </w:p>
                                                                                                        </w:txbxContent>
                                                                                                      </wps:txbx>
                                                                                                      <wps:bodyPr upright="1"/>
                                                                                                    </wps:wsp>
                                                                                                    <wps:wsp>
                                                                                                      <wps:cNvPr id="84" name="自选图形 76"/>
                                                                                                      <wps:cNvCnPr/>
                                                                                                      <wps:spPr>
                                                                                                        <a:xfrm>
                                                                                                          <a:off x="2269" y="5115"/>
                                                                                                          <a:ext cx="0" cy="1233"/>
                                                                                                        </a:xfrm>
                                                                                                        <a:prstGeom prst="straightConnector1">
                                                                                                          <a:avLst/>
                                                                                                        </a:prstGeom>
                                                                                                        <a:ln w="9525" cap="flat" cmpd="sng">
                                                                                                          <a:solidFill>
                                                                                                            <a:srgbClr val="000000"/>
                                                                                                          </a:solidFill>
                                                                                                          <a:prstDash val="solid"/>
                                                                                                          <a:headEnd type="none" w="med" len="med"/>
                                                                                                          <a:tailEnd type="triangle" w="med" len="med"/>
                                                                                                        </a:ln>
                                                                                                      </wps:spPr>
                                                                                                      <wps:bodyPr/>
                                                                                                    </wps:wsp>
                                                                                                  </wpg:grpSp>
                                                                                                  <wps:wsp>
                                                                                                    <wps:cNvPr id="86" name="自选图形 77"/>
                                                                                                    <wps:cNvCnPr/>
                                                                                                    <wps:spPr>
                                                                                                      <a:xfrm>
                                                                                                        <a:off x="2269" y="6993"/>
                                                                                                        <a:ext cx="0" cy="1233"/>
                                                                                                      </a:xfrm>
                                                                                                      <a:prstGeom prst="straightConnector1">
                                                                                                        <a:avLst/>
                                                                                                      </a:prstGeom>
                                                                                                      <a:ln w="9525" cap="flat" cmpd="sng">
                                                                                                        <a:solidFill>
                                                                                                          <a:srgbClr val="000000"/>
                                                                                                        </a:solidFill>
                                                                                                        <a:prstDash val="solid"/>
                                                                                                        <a:headEnd type="none" w="med" len="med"/>
                                                                                                        <a:tailEnd type="triangle" w="med" len="med"/>
                                                                                                      </a:ln>
                                                                                                    </wps:spPr>
                                                                                                    <wps:bodyPr/>
                                                                                                  </wps:wsp>
                                                                                                  <wps:wsp>
                                                                                                    <wps:cNvPr id="87" name="文本框 78"/>
                                                                                                    <wps:cNvSpPr txBox="1"/>
                                                                                                    <wps:spPr>
                                                                                                      <a:xfrm>
                                                                                                        <a:off x="1668" y="8226"/>
                                                                                                        <a:ext cx="1199" cy="645"/>
                                                                                                      </a:xfrm>
                                                                                                      <a:prstGeom prst="rect">
                                                                                                        <a:avLst/>
                                                                                                      </a:prstGeom>
                                                                                                      <a:noFill/>
                                                                                                      <a:ln w="9525" cap="flat" cmpd="sng">
                                                                                                        <a:solidFill>
                                                                                                          <a:srgbClr val="000000"/>
                                                                                                        </a:solidFill>
                                                                                                        <a:prstDash val="solid"/>
                                                                                                        <a:miter/>
                                                                                                        <a:headEnd type="none" w="med" len="med"/>
                                                                                                        <a:tailEnd type="none" w="med" len="med"/>
                                                                                                      </a:ln>
                                                                                                    </wps:spPr>
                                                                                                    <wps:txbx>
                                                                                                      <w:txbxContent>
                                                                                                        <w:p>
                                                                                                          <w:pPr>
                                                                                                            <w:ind w:firstLine="0" w:firstLineChars="0"/>
                                                                                                            <w:jc w:val="left"/>
                                                                                                            <w:rPr>
                                                                                                              <w:sz w:val="21"/>
                                                                                                            </w:rPr>
                                                                                                          </w:pPr>
                                                                                                          <w:r>
                                                                                                            <w:rPr>
                                                                                                              <w:rFonts w:hint="eastAsia"/>
                                                                                                              <w:sz w:val="21"/>
                                                                                                            </w:rPr>
                                                                                                            <w:t>风险评价</w:t>
                                                                                                          </w:r>
                                                                                                        </w:p>
                                                                                                      </w:txbxContent>
                                                                                                    </wps:txbx>
                                                                                                    <wps:bodyPr upright="1"/>
                                                                                                  </wps:wsp>
                                                                                                  <wps:wsp>
                                                                                                    <wps:cNvPr id="88" name="自选图形 79"/>
                                                                                                    <wps:cNvCnPr/>
                                                                                                    <wps:spPr>
                                                                                                      <a:xfrm>
                                                                                                        <a:off x="2255" y="8871"/>
                                                                                                        <a:ext cx="0" cy="449"/>
                                                                                                      </a:xfrm>
                                                                                                      <a:prstGeom prst="straightConnector1">
                                                                                                        <a:avLst/>
                                                                                                      </a:prstGeom>
                                                                                                      <a:ln w="9525" cap="flat" cmpd="sng">
                                                                                                        <a:solidFill>
                                                                                                          <a:srgbClr val="000000"/>
                                                                                                        </a:solidFill>
                                                                                                        <a:prstDash val="solid"/>
                                                                                                        <a:headEnd type="none" w="med" len="med"/>
                                                                                                        <a:tailEnd type="triangle" w="med" len="med"/>
                                                                                                      </a:ln>
                                                                                                    </wps:spPr>
                                                                                                    <wps:bodyPr/>
                                                                                                  </wps:wsp>
                                                                                                  <wps:wsp>
                                                                                                    <wps:cNvPr id="89" name="自选图形 80"/>
                                                                                                    <wps:cNvSpPr/>
                                                                                                    <wps:spPr>
                                                                                                      <a:xfrm>
                                                                                                        <a:off x="1285" y="9320"/>
                                                                                                        <a:ext cx="1913" cy="1164"/>
                                                                                                      </a:xfrm>
                                                                                                      <a:prstGeom prst="diamond">
                                                                                                        <a:avLst/>
                                                                                                      </a:prstGeom>
                                                                                                      <a:noFill/>
                                                                                                      <a:ln w="9525" cap="flat" cmpd="sng">
                                                                                                        <a:solidFill>
                                                                                                          <a:srgbClr val="000000"/>
                                                                                                        </a:solidFill>
                                                                                                        <a:prstDash val="solid"/>
                                                                                                        <a:miter/>
                                                                                                        <a:headEnd type="none" w="med" len="med"/>
                                                                                                        <a:tailEnd type="none" w="med" len="med"/>
                                                                                                      </a:ln>
                                                                                                    </wps:spPr>
                                                                                                    <wps:bodyPr upright="1"/>
                                                                                                  </wps:wsp>
                                                                                                  <wps:wsp>
                                                                                                    <wps:cNvPr id="90" name="自选图形 81"/>
                                                                                                    <wps:cNvCnPr/>
                                                                                                    <wps:spPr>
                                                                                                      <a:xfrm>
                                                                                                        <a:off x="2242" y="10484"/>
                                                                                                        <a:ext cx="0" cy="990"/>
                                                                                                      </a:xfrm>
                                                                                                      <a:prstGeom prst="straightConnector1">
                                                                                                        <a:avLst/>
                                                                                                      </a:prstGeom>
                                                                                                      <a:ln w="9525" cap="flat" cmpd="sng">
                                                                                                        <a:solidFill>
                                                                                                          <a:srgbClr val="000000"/>
                                                                                                        </a:solidFill>
                                                                                                        <a:prstDash val="solid"/>
                                                                                                        <a:headEnd type="none" w="med" len="med"/>
                                                                                                        <a:tailEnd type="triangle" w="med" len="med"/>
                                                                                                      </a:ln>
                                                                                                    </wps:spPr>
                                                                                                    <wps:bodyPr/>
                                                                                                  </wps:wsp>
                                                                                                  <wps:wsp>
                                                                                                    <wps:cNvPr id="91" name="文本框 82"/>
                                                                                                    <wps:cNvSpPr txBox="1"/>
                                                                                                    <wps:spPr>
                                                                                                      <a:xfrm>
                                                                                                        <a:off x="1602" y="11474"/>
                                                                                                        <a:ext cx="1199" cy="645"/>
                                                                                                      </a:xfrm>
                                                                                                      <a:prstGeom prst="rect">
                                                                                                        <a:avLst/>
                                                                                                      </a:prstGeom>
                                                                                                      <a:noFill/>
                                                                                                      <a:ln w="9525" cap="flat" cmpd="sng">
                                                                                                        <a:solidFill>
                                                                                                          <a:srgbClr val="000000"/>
                                                                                                        </a:solidFill>
                                                                                                        <a:prstDash val="solid"/>
                                                                                                        <a:miter/>
                                                                                                        <a:headEnd type="none" w="med" len="med"/>
                                                                                                        <a:tailEnd type="none" w="med" len="med"/>
                                                                                                      </a:ln>
                                                                                                    </wps:spPr>
                                                                                                    <wps:txbx>
                                                                                                      <w:txbxContent>
                                                                                                        <w:p>
                                                                                                          <w:pPr>
                                                                                                            <w:ind w:firstLine="0" w:firstLineChars="0"/>
                                                                                                            <w:jc w:val="left"/>
                                                                                                            <w:rPr>
                                                                                                              <w:sz w:val="21"/>
                                                                                                            </w:rPr>
                                                                                                          </w:pPr>
                                                                                                          <w:r>
                                                                                                            <w:rPr>
                                                                                                              <w:rFonts w:hint="eastAsia"/>
                                                                                                              <w:sz w:val="21"/>
                                                                                                            </w:rPr>
                                                                                                            <w:t>风险管理</w:t>
                                                                                                          </w:r>
                                                                                                        </w:p>
                                                                                                      </w:txbxContent>
                                                                                                    </wps:txbx>
                                                                                                    <wps:bodyPr upright="1"/>
                                                                                                  </wps:wsp>
                                                                                                  <wps:wsp>
                                                                                                    <wps:cNvPr id="92" name="自选图形 83"/>
                                                                                                    <wps:cNvCnPr/>
                                                                                                    <wps:spPr>
                                                                                                      <a:xfrm>
                                                                                                        <a:off x="1141" y="4863"/>
                                                                                                        <a:ext cx="527" cy="0"/>
                                                                                                      </a:xfrm>
                                                                                                      <a:prstGeom prst="straightConnector1">
                                                                                                        <a:avLst/>
                                                                                                      </a:prstGeom>
                                                                                                      <a:ln w="9525" cap="flat" cmpd="sng">
                                                                                                        <a:solidFill>
                                                                                                          <a:srgbClr val="000000"/>
                                                                                                        </a:solidFill>
                                                                                                        <a:prstDash val="solid"/>
                                                                                                        <a:headEnd type="none" w="med" len="med"/>
                                                                                                        <a:tailEnd type="triangle" w="med" len="med"/>
                                                                                                      </a:ln>
                                                                                                    </wps:spPr>
                                                                                                    <wps:bodyPr/>
                                                                                                  </wps:wsp>
                                                                                                </wpg:grpSp>
                                                                                                <wps:wsp>
                                                                                                  <wps:cNvPr id="94" name="自选图形 84"/>
                                                                                                  <wps:cNvCnPr/>
                                                                                                  <wps:spPr>
                                                                                                    <a:xfrm>
                                                                                                      <a:off x="2752" y="10202"/>
                                                                                                      <a:ext cx="446" cy="0"/>
                                                                                                    </a:xfrm>
                                                                                                    <a:prstGeom prst="straightConnector1">
                                                                                                      <a:avLst/>
                                                                                                    </a:prstGeom>
                                                                                                    <a:ln w="9525" cap="flat" cmpd="sng">
                                                                                                      <a:solidFill>
                                                                                                        <a:srgbClr val="000000"/>
                                                                                                      </a:solidFill>
                                                                                                      <a:prstDash val="solid"/>
                                                                                                      <a:headEnd type="none" w="med" len="med"/>
                                                                                                      <a:tailEnd type="none" w="med" len="med"/>
                                                                                                    </a:ln>
                                                                                                  </wps:spPr>
                                                                                                  <wps:bodyPr/>
                                                                                                </wps:wsp>
                                                                                                <wps:wsp>
                                                                                                  <wps:cNvPr id="95" name="自选图形 85"/>
                                                                                                  <wps:cNvCnPr/>
                                                                                                  <wps:spPr>
                                                                                                    <a:xfrm>
                                                                                                      <a:off x="3198" y="10202"/>
                                                                                                      <a:ext cx="0" cy="3220"/>
                                                                                                    </a:xfrm>
                                                                                                    <a:prstGeom prst="straightConnector1">
                                                                                                      <a:avLst/>
                                                                                                    </a:prstGeom>
                                                                                                    <a:ln w="9525" cap="flat" cmpd="sng">
                                                                                                      <a:solidFill>
                                                                                                        <a:srgbClr val="000000"/>
                                                                                                      </a:solidFill>
                                                                                                      <a:prstDash val="solid"/>
                                                                                                      <a:headEnd type="none" w="med" len="med"/>
                                                                                                      <a:tailEnd type="none" w="med" len="med"/>
                                                                                                    </a:ln>
                                                                                                  </wps:spPr>
                                                                                                  <wps:bodyPr/>
                                                                                                </wps:wsp>
                                                                                                <wps:wsp>
                                                                                                  <wps:cNvPr id="96" name="自选图形 86"/>
                                                                                                  <wps:cNvCnPr/>
                                                                                                  <wps:spPr>
                                                                                                    <a:xfrm flipH="1">
                                                                                                      <a:off x="2801" y="13422"/>
                                                                                                      <a:ext cx="397" cy="0"/>
                                                                                                    </a:xfrm>
                                                                                                    <a:prstGeom prst="straightConnector1">
                                                                                                      <a:avLst/>
                                                                                                    </a:prstGeom>
                                                                                                    <a:ln w="9525" cap="flat" cmpd="sng">
                                                                                                      <a:solidFill>
                                                                                                        <a:srgbClr val="000000"/>
                                                                                                      </a:solidFill>
                                                                                                      <a:prstDash val="solid"/>
                                                                                                      <a:headEnd type="none" w="med" len="med"/>
                                                                                                      <a:tailEnd type="triangle" w="med" len="med"/>
                                                                                                    </a:ln>
                                                                                                  </wps:spPr>
                                                                                                  <wps:bodyPr/>
                                                                                                </wps:wsp>
                                                                                              </wpg:grpSp>
                                                                                              <wpg:grpSp>
                                                                                                <wpg:cNvPr id="100" name="组合 87"/>
                                                                                                <wpg:cNvGrpSpPr/>
                                                                                                <wpg:grpSpPr>
                                                                                                  <a:xfrm>
                                                                                                    <a:off x="2173" y="10724"/>
                                                                                                    <a:ext cx="628" cy="2385"/>
                                                                                                    <a:chOff x="2173" y="10724"/>
                                                                                                    <a:chExt cx="628" cy="2385"/>
                                                                                                  </a:xfrm>
                                                                                                </wpg:grpSpPr>
                                                                                                <wps:wsp>
                                                                                                  <wps:cNvPr id="98" name="自选图形 88"/>
                                                                                                  <wps:cNvCnPr/>
                                                                                                  <wps:spPr>
                                                                                                    <a:xfrm>
                                                                                                      <a:off x="2200" y="12119"/>
                                                                                                      <a:ext cx="0" cy="990"/>
                                                                                                    </a:xfrm>
                                                                                                    <a:prstGeom prst="straightConnector1">
                                                                                                      <a:avLst/>
                                                                                                    </a:prstGeom>
                                                                                                    <a:ln w="9525" cap="flat" cmpd="sng">
                                                                                                      <a:solidFill>
                                                                                                        <a:srgbClr val="000000"/>
                                                                                                      </a:solidFill>
                                                                                                      <a:prstDash val="solid"/>
                                                                                                      <a:headEnd type="none" w="med" len="med"/>
                                                                                                      <a:tailEnd type="triangle" w="med" len="med"/>
                                                                                                    </a:ln>
                                                                                                  </wps:spPr>
                                                                                                  <wps:bodyPr/>
                                                                                                </wps:wsp>
                                                                                                <wps:wsp>
                                                                                                  <wps:cNvPr id="99" name="文本框 89"/>
                                                                                                  <wps:cNvSpPr txBox="1"/>
                                                                                                  <wps:spPr>
                                                                                                    <a:xfrm>
                                                                                                      <a:off x="2173" y="10724"/>
                                                                                                      <a:ext cx="628" cy="507"/>
                                                                                                    </a:xfrm>
                                                                                                    <a:prstGeom prst="rect">
                                                                                                      <a:avLst/>
                                                                                                    </a:prstGeom>
                                                                                                    <a:noFill/>
                                                                                                    <a:ln w="9525">
                                                                                                      <a:noFill/>
                                                                                                    </a:ln>
                                                                                                  </wps:spPr>
                                                                                                  <wps:txbx>
                                                                                                    <w:txbxContent>
                                                                                                      <w:p>
                                                                                                        <w:pPr>
                                                                                                          <w:spacing w:line="240" w:lineRule="auto"/>
                                                                                                          <w:ind w:firstLine="0" w:firstLineChars="0"/>
                                                                                                          <w:jc w:val="left"/>
                                                                                                          <w:rPr>
                                                                                                            <w:sz w:val="18"/>
                                                                                                          </w:rPr>
                                                                                                        </w:pPr>
                                                                                                        <w:r>
                                                                                                          <w:rPr>
                                                                                                            <w:rFonts w:hint="eastAsia"/>
                                                                                                            <w:sz w:val="18"/>
                                                                                                          </w:rPr>
                                                                                                          <w:t>否</w:t>
                                                                                                        </w:r>
                                                                                                      </w:p>
                                                                                                    </w:txbxContent>
                                                                                                  </wps:txbx>
                                                                                                  <wps:bodyPr upright="1"/>
                                                                                                </wps:wsp>
                                                                                              </wpg:grpSp>
                                                                                            </wpg:grpSp>
                                                                                          </wpg:grpSp>
                                                                                        </wpg:grpSp>
                                                                                      </wpg:grpSp>
                                                                                    </wpg:grpSp>
                                                                                  </wpg:grpSp>
                                                                                </wpg:grpSp>
                                                                                <wps:wsp>
                                                                                  <wps:cNvPr id="108" name="文本框 90"/>
                                                                                  <wps:cNvSpPr txBox="1"/>
                                                                                  <wps:spPr>
                                                                                    <a:xfrm>
                                                                                      <a:off x="3430" y="4410"/>
                                                                                      <a:ext cx="1650" cy="772"/>
                                                                                    </a:xfrm>
                                                                                    <a:prstGeom prst="rect">
                                                                                      <a:avLst/>
                                                                                    </a:prstGeom>
                                                                                    <a:noFill/>
                                                                                    <a:ln w="9525">
                                                                                      <a:noFill/>
                                                                                    </a:ln>
                                                                                  </wps:spPr>
                                                                                  <wps:txbx>
                                                                                    <w:txbxContent>
                                                                                      <w:p>
                                                                                        <w:pPr>
                                                                                          <w:spacing w:line="240" w:lineRule="auto"/>
                                                                                          <w:ind w:firstLine="0" w:firstLineChars="0"/>
                                                                                          <w:jc w:val="left"/>
                                                                                          <w:rPr>
                                                                                            <w:sz w:val="18"/>
                                                                                          </w:rPr>
                                                                                        </w:pPr>
                                                                                        <w:r>
                                                                                          <w:rPr>
                                                                                            <w:rFonts w:hint="eastAsia"/>
                                                                                            <w:sz w:val="18"/>
                                                                                          </w:rPr>
                                                                                          <w:t>已识别得危险因素和风险类型</w:t>
                                                                                        </w:r>
                                                                                      </w:p>
                                                                                    </w:txbxContent>
                                                                                  </wps:txbx>
                                                                                  <wps:bodyPr upright="1"/>
                                                                                </wps:wsp>
                                                                              </wpg:grpSp>
                                                                              <wps:wsp>
                                                                                <wps:cNvPr id="110" name="文本框 91"/>
                                                                                <wps:cNvSpPr txBox="1"/>
                                                                                <wps:spPr>
                                                                                  <a:xfrm>
                                                                                    <a:off x="6126" y="3278"/>
                                                                                    <a:ext cx="659" cy="495"/>
                                                                                  </a:xfrm>
                                                                                  <a:prstGeom prst="rect">
                                                                                    <a:avLst/>
                                                                                  </a:prstGeom>
                                                                                  <a:noFill/>
                                                                                  <a:ln w="9525">
                                                                                    <a:noFill/>
                                                                                  </a:ln>
                                                                                </wps:spPr>
                                                                                <wps:txbx>
                                                                                  <w:txbxContent>
                                                                                    <w:p>
                                                                                      <w:pPr>
                                                                                        <w:spacing w:line="240" w:lineRule="auto"/>
                                                                                        <w:ind w:firstLine="0" w:firstLineChars="0"/>
                                                                                        <w:jc w:val="left"/>
                                                                                        <w:rPr>
                                                                                          <w:sz w:val="18"/>
                                                                                        </w:rPr>
                                                                                      </w:pPr>
                                                                                      <w:r>
                                                                                        <w:rPr>
                                                                                          <w:rFonts w:hint="eastAsia"/>
                                                                                          <w:sz w:val="18"/>
                                                                                        </w:rPr>
                                                                                        <w:t>定性</w:t>
                                                                                      </w:r>
                                                                                    </w:p>
                                                                                  </w:txbxContent>
                                                                                </wps:txbx>
                                                                                <wps:bodyPr upright="1"/>
                                                                              </wps:wsp>
                                                                              <wps:wsp>
                                                                                <wps:cNvPr id="111" name="自选图形 92"/>
                                                                                <wps:cNvCnPr/>
                                                                                <wps:spPr>
                                                                                  <a:xfrm flipV="1">
                                                                                    <a:off x="6693" y="3237"/>
                                                                                    <a:ext cx="530" cy="279"/>
                                                                                  </a:xfrm>
                                                                                  <a:prstGeom prst="straightConnector1">
                                                                                    <a:avLst/>
                                                                                  </a:prstGeom>
                                                                                  <a:ln w="9525" cap="flat" cmpd="sng">
                                                                                    <a:solidFill>
                                                                                      <a:srgbClr val="000000"/>
                                                                                    </a:solidFill>
                                                                                    <a:prstDash val="solid"/>
                                                                                    <a:headEnd type="none" w="med" len="med"/>
                                                                                    <a:tailEnd type="none" w="med" len="med"/>
                                                                                  </a:ln>
                                                                                </wps:spPr>
                                                                                <wps:bodyPr/>
                                                                              </wps:wsp>
                                                                              <wps:wsp>
                                                                                <wps:cNvPr id="112" name="自选图形 93"/>
                                                                                <wps:cNvCnPr/>
                                                                                <wps:spPr>
                                                                                  <a:xfrm>
                                                                                    <a:off x="6693" y="3516"/>
                                                                                    <a:ext cx="530" cy="257"/>
                                                                                  </a:xfrm>
                                                                                  <a:prstGeom prst="straightConnector1">
                                                                                    <a:avLst/>
                                                                                  </a:prstGeom>
                                                                                  <a:ln w="9525" cap="flat" cmpd="sng">
                                                                                    <a:solidFill>
                                                                                      <a:srgbClr val="000000"/>
                                                                                    </a:solidFill>
                                                                                    <a:prstDash val="solid"/>
                                                                                    <a:headEnd type="none" w="med" len="med"/>
                                                                                    <a:tailEnd type="none" w="med" len="med"/>
                                                                                  </a:ln>
                                                                                </wps:spPr>
                                                                                <wps:bodyPr/>
                                                                              </wps:wsp>
                                                                              <wps:wsp>
                                                                                <wps:cNvPr id="113" name="自选图形 94"/>
                                                                                <wps:cNvCnPr/>
                                                                                <wps:spPr>
                                                                                  <a:xfrm flipV="1">
                                                                                    <a:off x="6693" y="4863"/>
                                                                                    <a:ext cx="530" cy="319"/>
                                                                                  </a:xfrm>
                                                                                  <a:prstGeom prst="straightConnector1">
                                                                                    <a:avLst/>
                                                                                  </a:prstGeom>
                                                                                  <a:ln w="9525" cap="flat" cmpd="sng">
                                                                                    <a:solidFill>
                                                                                      <a:srgbClr val="000000"/>
                                                                                    </a:solidFill>
                                                                                    <a:prstDash val="solid"/>
                                                                                    <a:headEnd type="none" w="med" len="med"/>
                                                                                    <a:tailEnd type="none" w="med" len="med"/>
                                                                                  </a:ln>
                                                                                </wps:spPr>
                                                                                <wps:bodyPr/>
                                                                              </wps:wsp>
                                                                              <wps:wsp>
                                                                                <wps:cNvPr id="114" name="自选图形 95"/>
                                                                                <wps:cNvCnPr/>
                                                                                <wps:spPr>
                                                                                  <a:xfrm>
                                                                                    <a:off x="6693" y="5182"/>
                                                                                    <a:ext cx="530" cy="371"/>
                                                                                  </a:xfrm>
                                                                                  <a:prstGeom prst="straightConnector1">
                                                                                    <a:avLst/>
                                                                                  </a:prstGeom>
                                                                                  <a:ln w="9525" cap="flat" cmpd="sng">
                                                                                    <a:solidFill>
                                                                                      <a:srgbClr val="000000"/>
                                                                                    </a:solidFill>
                                                                                    <a:prstDash val="solid"/>
                                                                                    <a:headEnd type="none" w="med" len="med"/>
                                                                                    <a:tailEnd type="none" w="med" len="med"/>
                                                                                  </a:ln>
                                                                                </wps:spPr>
                                                                                <wps:bodyPr/>
                                                                              </wps:wsp>
                                                                            </wpg:grpSp>
                                                                          </wpg:grpSp>
                                                                        </wpg:grpSp>
                                                                      </wpg:grpSp>
                                                                    </wpg:grpSp>
                                                                  </wpg:grpSp>
                                                                </wpg:grpSp>
                                                              </wpg:grpSp>
                                                            </wpg:grpSp>
                                                          </wpg:grpSp>
                                                        </wpg:grpSp>
                                                      </wpg:grpSp>
                                                      <wps:wsp>
                                                        <wps:cNvPr id="127" name="文本框 96"/>
                                                        <wps:cNvSpPr txBox="1"/>
                                                        <wps:spPr>
                                                          <a:xfrm>
                                                            <a:off x="3363" y="6417"/>
                                                            <a:ext cx="1650" cy="772"/>
                                                          </a:xfrm>
                                                          <a:prstGeom prst="rect">
                                                            <a:avLst/>
                                                          </a:prstGeom>
                                                          <a:noFill/>
                                                          <a:ln w="9525">
                                                            <a:noFill/>
                                                          </a:ln>
                                                        </wps:spPr>
                                                        <wps:txbx>
                                                          <w:txbxContent>
                                                            <w:p>
                                                              <w:pPr>
                                                                <w:spacing w:line="240" w:lineRule="auto"/>
                                                                <w:ind w:firstLine="0" w:firstLineChars="0"/>
                                                                <w:jc w:val="left"/>
                                                                <w:rPr>
                                                                  <w:sz w:val="18"/>
                                                                </w:rPr>
                                                              </w:pPr>
                                                              <w:r>
                                                                <w:rPr>
                                                                  <w:rFonts w:hint="eastAsia"/>
                                                                  <w:sz w:val="18"/>
                                                                </w:rPr>
                                                                <w:t>最大可信事故</w:t>
                                                              </w:r>
                                                            </w:p>
                                                          </w:txbxContent>
                                                        </wps:txbx>
                                                        <wps:bodyPr upright="1"/>
                                                      </wps:wsp>
                                                    </wpg:grpSp>
                                                    <wps:wsp>
                                                      <wps:cNvPr id="129" name="文本框 97"/>
                                                      <wps:cNvSpPr txBox="1"/>
                                                      <wps:spPr>
                                                        <a:xfrm>
                                                          <a:off x="6135" y="6221"/>
                                                          <a:ext cx="1650" cy="968"/>
                                                        </a:xfrm>
                                                        <a:prstGeom prst="rect">
                                                          <a:avLst/>
                                                        </a:prstGeom>
                                                        <a:noFill/>
                                                        <a:ln w="9525">
                                                          <a:noFill/>
                                                        </a:ln>
                                                      </wps:spPr>
                                                      <wps:txbx>
                                                        <w:txbxContent>
                                                          <w:p>
                                                            <w:pPr>
                                                              <w:spacing w:line="240" w:lineRule="auto"/>
                                                              <w:ind w:firstLine="0" w:firstLineChars="0"/>
                                                              <w:jc w:val="left"/>
                                                              <w:rPr>
                                                                <w:sz w:val="18"/>
                                                              </w:rPr>
                                                            </w:pPr>
                                                            <w:r>
                                                              <w:rPr>
                                                                <w:rFonts w:hint="eastAsia"/>
                                                                <w:sz w:val="18"/>
                                                              </w:rPr>
                                                              <w:t>大气扩散计算</w:t>
                                                            </w:r>
                                                          </w:p>
                                                          <w:p>
                                                            <w:pPr>
                                                              <w:spacing w:line="240" w:lineRule="auto"/>
                                                              <w:ind w:firstLine="0" w:firstLineChars="0"/>
                                                              <w:jc w:val="left"/>
                                                              <w:rPr>
                                                                <w:sz w:val="18"/>
                                                              </w:rPr>
                                                            </w:pPr>
                                                            <w:r>
                                                              <w:rPr>
                                                                <w:rFonts w:hint="eastAsia"/>
                                                                <w:sz w:val="18"/>
                                                              </w:rPr>
                                                              <w:t>水体扩散计算</w:t>
                                                            </w:r>
                                                          </w:p>
                                                          <w:p>
                                                            <w:pPr>
                                                              <w:spacing w:line="240" w:lineRule="auto"/>
                                                              <w:ind w:firstLine="0" w:firstLineChars="0"/>
                                                              <w:jc w:val="left"/>
                                                              <w:rPr>
                                                                <w:sz w:val="18"/>
                                                              </w:rPr>
                                                            </w:pPr>
                                                            <w:r>
                                                              <w:rPr>
                                                                <w:rFonts w:hint="eastAsia"/>
                                                                <w:sz w:val="18"/>
                                                              </w:rPr>
                                                              <w:t>综合损害计算</w:t>
                                                            </w:r>
                                                          </w:p>
                                                        </w:txbxContent>
                                                      </wps:txbx>
                                                      <wps:bodyPr upright="1"/>
                                                    </wps:wsp>
                                                  </wpg:grpSp>
                                                  <wps:wsp>
                                                    <wps:cNvPr id="131" name="文本框 98"/>
                                                    <wps:cNvSpPr txBox="1"/>
                                                    <wps:spPr>
                                                      <a:xfrm>
                                                        <a:off x="8854" y="6290"/>
                                                        <a:ext cx="1650" cy="772"/>
                                                      </a:xfrm>
                                                      <a:prstGeom prst="rect">
                                                        <a:avLst/>
                                                      </a:prstGeom>
                                                      <a:noFill/>
                                                      <a:ln w="9525">
                                                        <a:noFill/>
                                                      </a:ln>
                                                    </wps:spPr>
                                                    <wps:txbx>
                                                      <w:txbxContent>
                                                        <w:p>
                                                          <w:pPr>
                                                            <w:spacing w:line="240" w:lineRule="auto"/>
                                                            <w:ind w:firstLine="0" w:firstLineChars="0"/>
                                                            <w:jc w:val="left"/>
                                                            <w:rPr>
                                                              <w:sz w:val="18"/>
                                                            </w:rPr>
                                                          </w:pPr>
                                                          <w:r>
                                                            <w:rPr>
                                                              <w:rFonts w:hint="eastAsia"/>
                                                              <w:sz w:val="18"/>
                                                            </w:rPr>
                                                            <w:t>确定危害程度</w:t>
                                                          </w:r>
                                                        </w:p>
                                                        <w:p>
                                                          <w:pPr>
                                                            <w:spacing w:line="240" w:lineRule="auto"/>
                                                            <w:ind w:firstLine="0" w:firstLineChars="0"/>
                                                            <w:jc w:val="left"/>
                                                            <w:rPr>
                                                              <w:sz w:val="18"/>
                                                            </w:rPr>
                                                          </w:pPr>
                                                          <w:r>
                                                            <w:rPr>
                                                              <w:rFonts w:hint="eastAsia"/>
                                                              <w:sz w:val="18"/>
                                                            </w:rPr>
                                                            <w:t>危害范围</w:t>
                                                          </w:r>
                                                        </w:p>
                                                      </w:txbxContent>
                                                    </wps:txbx>
                                                    <wps:bodyPr upright="1"/>
                                                  </wps:wsp>
                                                </wpg:grpSp>
                                              </wpg:grpSp>
                                            </wpg:grpSp>
                                          </wpg:grpSp>
                                          <wps:wsp>
                                            <wps:cNvPr id="136" name="文本框 99"/>
                                            <wps:cNvSpPr txBox="1"/>
                                            <wps:spPr>
                                              <a:xfrm>
                                                <a:off x="6135" y="8306"/>
                                                <a:ext cx="1650" cy="772"/>
                                              </a:xfrm>
                                              <a:prstGeom prst="rect">
                                                <a:avLst/>
                                              </a:prstGeom>
                                              <a:noFill/>
                                              <a:ln w="9525">
                                                <a:noFill/>
                                              </a:ln>
                                            </wps:spPr>
                                            <wps:txbx>
                                              <w:txbxContent>
                                                <w:p>
                                                  <w:pPr>
                                                    <w:spacing w:line="240" w:lineRule="auto"/>
                                                    <w:ind w:firstLine="0" w:firstLineChars="0"/>
                                                    <w:jc w:val="left"/>
                                                    <w:rPr>
                                                      <w:sz w:val="18"/>
                                                    </w:rPr>
                                                  </w:pPr>
                                                  <w:r>
                                                    <w:rPr>
                                                      <w:rFonts w:hint="eastAsia"/>
                                                      <w:sz w:val="18"/>
                                                    </w:rPr>
                                                    <w:t>外推法</w:t>
                                                  </w:r>
                                                </w:p>
                                                <w:p>
                                                  <w:pPr>
                                                    <w:spacing w:line="240" w:lineRule="auto"/>
                                                    <w:ind w:firstLine="0" w:firstLineChars="0"/>
                                                    <w:jc w:val="left"/>
                                                    <w:rPr>
                                                      <w:sz w:val="18"/>
                                                    </w:rPr>
                                                  </w:pPr>
                                                  <w:r>
                                                    <w:rPr>
                                                      <w:rFonts w:hint="eastAsia"/>
                                                      <w:sz w:val="18"/>
                                                    </w:rPr>
                                                    <w:t>等级评价法</w:t>
                                                  </w:r>
                                                </w:p>
                                              </w:txbxContent>
                                            </wps:txbx>
                                            <wps:bodyPr upright="1"/>
                                          </wps:wsp>
                                        </wpg:grpSp>
                                        <wps:wsp>
                                          <wps:cNvPr id="138" name="文本框 100"/>
                                          <wps:cNvSpPr txBox="1"/>
                                          <wps:spPr>
                                            <a:xfrm>
                                              <a:off x="8854" y="8298"/>
                                              <a:ext cx="1650" cy="772"/>
                                            </a:xfrm>
                                            <a:prstGeom prst="rect">
                                              <a:avLst/>
                                            </a:prstGeom>
                                            <a:noFill/>
                                            <a:ln w="9525">
                                              <a:noFill/>
                                            </a:ln>
                                          </wps:spPr>
                                          <wps:txbx>
                                            <w:txbxContent>
                                              <w:p>
                                                <w:pPr>
                                                  <w:spacing w:line="240" w:lineRule="auto"/>
                                                  <w:ind w:firstLine="0" w:firstLineChars="0"/>
                                                  <w:jc w:val="left"/>
                                                  <w:rPr>
                                                    <w:sz w:val="18"/>
                                                  </w:rPr>
                                                </w:pPr>
                                                <w:r>
                                                  <w:rPr>
                                                    <w:rFonts w:hint="eastAsia"/>
                                                    <w:sz w:val="18"/>
                                                  </w:rPr>
                                                  <w:t>确定风险值和可接受水平</w:t>
                                                </w:r>
                                              </w:p>
                                            </w:txbxContent>
                                          </wps:txbx>
                                          <wps:bodyPr upright="1"/>
                                        </wps:wsp>
                                      </wpg:grpSp>
                                    </wpg:grpSp>
                                  </wpg:grpSp>
                                  <wps:wsp>
                                    <wps:cNvPr id="142" name="文本框 101"/>
                                    <wps:cNvSpPr txBox="1"/>
                                    <wps:spPr>
                                      <a:xfrm>
                                        <a:off x="6135" y="10440"/>
                                        <a:ext cx="1650" cy="772"/>
                                      </a:xfrm>
                                      <a:prstGeom prst="rect">
                                        <a:avLst/>
                                      </a:prstGeom>
                                      <a:noFill/>
                                      <a:ln w="9525">
                                        <a:noFill/>
                                      </a:ln>
                                    </wps:spPr>
                                    <wps:txbx>
                                      <w:txbxContent>
                                        <w:p>
                                          <w:pPr>
                                            <w:spacing w:line="240" w:lineRule="auto"/>
                                            <w:ind w:firstLine="0" w:firstLineChars="0"/>
                                            <w:jc w:val="left"/>
                                            <w:rPr>
                                              <w:sz w:val="18"/>
                                            </w:rPr>
                                          </w:pPr>
                                          <w:r>
                                            <w:rPr>
                                              <w:rFonts w:hint="eastAsia"/>
                                              <w:sz w:val="18"/>
                                            </w:rPr>
                                            <w:t>代价利益分析</w:t>
                                          </w:r>
                                        </w:p>
                                      </w:txbxContent>
                                    </wps:txbx>
                                    <wps:bodyPr upright="1"/>
                                  </wps:wsp>
                                </wpg:grpSp>
                                <wps:wsp>
                                  <wps:cNvPr id="144" name="文本框 102"/>
                                  <wps:cNvSpPr txBox="1"/>
                                  <wps:spPr>
                                    <a:xfrm>
                                      <a:off x="8854" y="10431"/>
                                      <a:ext cx="1764" cy="772"/>
                                    </a:xfrm>
                                    <a:prstGeom prst="rect">
                                      <a:avLst/>
                                    </a:prstGeom>
                                    <a:noFill/>
                                    <a:ln w="9525">
                                      <a:noFill/>
                                    </a:ln>
                                  </wps:spPr>
                                  <wps:txbx>
                                    <w:txbxContent>
                                      <w:p>
                                        <w:pPr>
                                          <w:spacing w:line="240" w:lineRule="auto"/>
                                          <w:ind w:firstLine="0" w:firstLineChars="0"/>
                                          <w:jc w:val="left"/>
                                          <w:rPr>
                                            <w:sz w:val="18"/>
                                          </w:rPr>
                                        </w:pPr>
                                        <w:r>
                                          <w:rPr>
                                            <w:rFonts w:hint="eastAsia"/>
                                            <w:sz w:val="18"/>
                                          </w:rPr>
                                          <w:t>确定减少风险措施</w:t>
                                        </w:r>
                                      </w:p>
                                    </w:txbxContent>
                                  </wps:txbx>
                                  <wps:bodyPr upright="1"/>
                                </wps:wsp>
                              </wpg:grpSp>
                            </wpg:grpSp>
                          </wpg:grpSp>
                          <wps:wsp>
                            <wps:cNvPr id="148" name="文本框 103"/>
                            <wps:cNvSpPr txBox="1"/>
                            <wps:spPr>
                              <a:xfrm>
                                <a:off x="6135" y="12941"/>
                                <a:ext cx="1650" cy="772"/>
                              </a:xfrm>
                              <a:prstGeom prst="rect">
                                <a:avLst/>
                              </a:prstGeom>
                              <a:noFill/>
                              <a:ln w="9525">
                                <a:noFill/>
                              </a:ln>
                            </wps:spPr>
                            <wps:txbx>
                              <w:txbxContent>
                                <w:p>
                                  <w:pPr>
                                    <w:spacing w:line="240" w:lineRule="auto"/>
                                    <w:ind w:firstLine="0" w:firstLineChars="0"/>
                                    <w:jc w:val="left"/>
                                    <w:rPr>
                                      <w:sz w:val="18"/>
                                    </w:rPr>
                                  </w:pPr>
                                  <w:r>
                                    <w:rPr>
                                      <w:rFonts w:hint="eastAsia"/>
                                      <w:sz w:val="18"/>
                                    </w:rPr>
                                    <w:t>类比法</w:t>
                                  </w:r>
                                </w:p>
                                <w:p>
                                  <w:pPr>
                                    <w:spacing w:line="240" w:lineRule="auto"/>
                                    <w:ind w:firstLine="0" w:firstLineChars="0"/>
                                    <w:jc w:val="left"/>
                                    <w:rPr>
                                      <w:sz w:val="18"/>
                                    </w:rPr>
                                  </w:pPr>
                                  <w:r>
                                    <w:rPr>
                                      <w:rFonts w:hint="eastAsia"/>
                                      <w:sz w:val="18"/>
                                    </w:rPr>
                                    <w:t>模拟</w:t>
                                  </w:r>
                                </w:p>
                              </w:txbxContent>
                            </wps:txbx>
                            <wps:bodyPr upright="1"/>
                          </wps:wsp>
                        </wpg:grpSp>
                        <wps:wsp>
                          <wps:cNvPr id="150" name="文本框 104"/>
                          <wps:cNvSpPr txBox="1"/>
                          <wps:spPr>
                            <a:xfrm>
                              <a:off x="8869" y="12929"/>
                              <a:ext cx="1650" cy="772"/>
                            </a:xfrm>
                            <a:prstGeom prst="rect">
                              <a:avLst/>
                            </a:prstGeom>
                            <a:noFill/>
                            <a:ln w="9525">
                              <a:noFill/>
                            </a:ln>
                          </wps:spPr>
                          <wps:txbx>
                            <w:txbxContent>
                              <w:p>
                                <w:pPr>
                                  <w:spacing w:line="240" w:lineRule="auto"/>
                                  <w:ind w:firstLine="0" w:firstLineChars="0"/>
                                  <w:jc w:val="left"/>
                                  <w:rPr>
                                    <w:sz w:val="18"/>
                                  </w:rPr>
                                </w:pPr>
                                <w:r>
                                  <w:rPr>
                                    <w:rFonts w:hint="eastAsia"/>
                                    <w:sz w:val="18"/>
                                  </w:rPr>
                                  <w:t>事故损失</w:t>
                                </w:r>
                              </w:p>
                              <w:p>
                                <w:pPr>
                                  <w:spacing w:line="240" w:lineRule="auto"/>
                                  <w:ind w:firstLine="0" w:firstLineChars="0"/>
                                  <w:jc w:val="left"/>
                                  <w:rPr>
                                    <w:sz w:val="18"/>
                                  </w:rPr>
                                </w:pPr>
                                <w:r>
                                  <w:rPr>
                                    <w:rFonts w:hint="eastAsia"/>
                                    <w:sz w:val="18"/>
                                  </w:rPr>
                                  <w:t>减至最少</w:t>
                                </w:r>
                              </w:p>
                            </w:txbxContent>
                          </wps:txbx>
                          <wps:bodyPr upright="1"/>
                        </wps:wsp>
                      </wpg:grpSp>
                    </wpg:wgp>
                  </a:graphicData>
                </a:graphic>
              </wp:anchor>
            </w:drawing>
          </mc:Choice>
          <mc:Fallback>
            <w:pict>
              <v:group id="组合 5" o:spid="_x0000_s1026" o:spt="203" style="position:absolute;left:0pt;margin-left:-16.65pt;margin-top:11.55pt;height:602.45pt;width:496.25pt;z-index:251661312;mso-width-relative:page;mso-height-relative:page;" coordorigin="1141,1705" coordsize="9925,12049" o:gfxdata="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">
                <o:lock v:ext="edit" aspectratio="f"/>
                <v:shape id="文本框 6" o:spid="_x0000_s1026" o:spt="202" type="#_x0000_t202" style="position:absolute;left:1668;top:6348;height:645;width:1199;" filled="f" stroked="t" coordsize="21600,21600" o:gfxdata="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TuKgr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ind w:firstLine="0" w:firstLineChars="0"/>
                          <w:jc w:val="left"/>
                          <w:rPr>
                            <w:sz w:val="21"/>
                          </w:rPr>
                        </w:pPr>
                        <w:r>
                          <w:rPr>
                            <w:rFonts w:hint="eastAsia"/>
                            <w:sz w:val="21"/>
                          </w:rPr>
                          <w:t>后果计算</w:t>
                        </w:r>
                      </w:p>
                    </w:txbxContent>
                  </v:textbox>
                </v:shape>
                <v:group id="组合 7" o:spid="_x0000_s1026" o:spt="203" style="position:absolute;left:1141;top:1705;height:12049;width:9925;" coordorigin="1141,1705" coordsize="9925,12049" o:gfxdata="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8WUXV70AAADcAAAADwAAAAAAAAABACAAAAAiAAAAZHJzL2Rvd25yZXYueG1s&#10;UEsBAhQAFAAAAAgAh07iQDMvBZ47AAAAOQAAABUAAAAAAAAAAQAgAAAADAEAAGRycy9ncm91cHNo&#10;YXBleG1sLnhtbFBLBQYAAAAABgAGAGABAADJAwAAAAA=&#10;">
                  <o:lock v:ext="edit" aspectratio="f"/>
                  <v:group id="组合 8" o:spid="_x0000_s1026" o:spt="203" style="position:absolute;left:1141;top:1705;height:12049;width:9925;" coordorigin="1141,1705" coordsize="9925,12049" o:gfxdata="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rKjYy+AAAA3AAAAA8AAAAAAAAAAQAgAAAAIgAAAGRycy9kb3ducmV2Lnht&#10;bFBLAQIUABQAAAAIAIdO4kAzLwWeOwAAADkAAAAVAAAAAAAAAAEAIAAAAA0BAABkcnMvZ3JvdXBz&#10;aGFwZXhtbC54bWxQSwUGAAAAAAYABgBgAQAAygMAAAAA&#10;">
                    <o:lock v:ext="edit" aspectratio="f"/>
                    <v:group id="组合 9" o:spid="_x0000_s1026" o:spt="203" style="position:absolute;left:1141;top:1705;height:12049;width:9925;" coordorigin="1141,1705" coordsize="9925,12049" o:gfxdata="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JQZvGW+AAAA3AAAAA8AAAAAAAAAAQAgAAAAIgAAAGRycy9kb3ducmV2Lnht&#10;bFBLAQIUABQAAAAIAIdO4kAzLwWeOwAAADkAAAAVAAAAAAAAAAEAIAAAAA0BAABkcnMvZ3JvdXBz&#10;aGFwZXhtbC54bWxQSwUGAAAAAAYABgBgAQAAygMAAAAA&#10;">
                      <o:lock v:ext="edit" aspectratio="f"/>
                      <v:shape id="文本框 10" o:spid="_x0000_s1026" o:spt="202" type="#_x0000_t202" style="position:absolute;left:3587;top:12982;height:772;width:1650;" filled="f" stroked="f" coordsize="21600,21600" o:gfxdata="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4jk1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240" w:lineRule="auto"/>
                                <w:ind w:firstLine="0" w:firstLineChars="0"/>
                                <w:jc w:val="left"/>
                                <w:rPr>
                                  <w:sz w:val="18"/>
                                </w:rPr>
                              </w:pPr>
                              <w:r>
                                <w:rPr>
                                  <w:rFonts w:hint="eastAsia"/>
                                  <w:sz w:val="18"/>
                                </w:rPr>
                                <w:t>事故现场</w:t>
                              </w:r>
                            </w:p>
                            <w:p>
                              <w:pPr>
                                <w:spacing w:line="240" w:lineRule="auto"/>
                                <w:ind w:firstLine="0" w:firstLineChars="0"/>
                                <w:jc w:val="left"/>
                                <w:rPr>
                                  <w:sz w:val="18"/>
                                </w:rPr>
                              </w:pPr>
                              <w:r>
                                <w:rPr>
                                  <w:rFonts w:hint="eastAsia"/>
                                  <w:sz w:val="18"/>
                                </w:rPr>
                                <w:t>周围影响区</w:t>
                              </w:r>
                            </w:p>
                          </w:txbxContent>
                        </v:textbox>
                      </v:shape>
                      <v:group id="组合 11" o:spid="_x0000_s1026" o:spt="203" style="position:absolute;left:1141;top:1705;height:12049;width:9925;" coordorigin="1141,1705" coordsize="9925,12049" o:gfxdata="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1UZ/r0AAADcAAAADwAAAAAAAAABACAAAAAiAAAAZHJzL2Rvd25yZXYueG1s&#10;UEsBAhQAFAAAAAgAh07iQDMvBZ47AAAAOQAAABUAAAAAAAAAAQAgAAAADAEAAGRycy9ncm91cHNo&#10;YXBleG1sLnhtbFBLBQYAAAAABgAGAGABAADJAwAAAAA=&#10;">
                        <o:lock v:ext="edit" aspectratio="f"/>
                        <v:shape id="自选图形 12" o:spid="_x0000_s1026" o:spt="32" type="#_x0000_t32" style="position:absolute;left:3198;top:11757;height:0;width:7868;" filled="f" stroked="t" coordsize="21600,21600" o:gfxdata="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kznSr4A&#10;AADbAAAADwAAAAAAAAABACAAAAAiAAAAZHJzL2Rvd25yZXYueG1sUEsBAhQAFAAAAAgAh07iQDMv&#10;BZ47AAAAOQAAABAAAAAAAAAAAQAgAAAADQEAAGRycy9zaGFwZXhtbC54bWxQSwUGAAAAAAYABgBb&#10;AQAAtwMAAAAA&#10;">
                          <v:fill on="f" focussize="0,0"/>
                          <v:stroke color="#000000" joinstyle="round" dashstyle="dash"/>
                          <v:imagedata o:title=""/>
                          <o:lock v:ext="edit" aspectratio="f"/>
                        </v:shape>
                        <v:group id="组合 13" o:spid="_x0000_s1026" o:spt="203" style="position:absolute;left:1141;top:1705;height:12049;width:9925;" coordorigin="1141,1705" coordsize="9925,12049" o:gfxdata="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C4eHib0AAADcAAAADwAAAAAAAAABACAAAAAiAAAAZHJzL2Rvd25yZXYueG1s&#10;UEsBAhQAFAAAAAgAh07iQDMvBZ47AAAAOQAAABUAAAAAAAAAAQAgAAAADAEAAGRycy9ncm91cHNo&#10;YXBleG1sLnhtbFBLBQYAAAAABgAGAGABAADJAwAAAAA=&#10;">
                          <o:lock v:ext="edit" aspectratio="f"/>
                          <v:group id="组合 14" o:spid="_x0000_s1026" o:spt="203" style="position:absolute;left:1141;top:1705;height:12049;width:9925;" coordorigin="1141,1705" coordsize="9925,12049" o:gfxdata="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rIrpmvAAAANwAAAAPAAAAAAAAAAEAIAAAACIAAABkcnMvZG93bnJldi54bWxQ&#10;SwECFAAUAAAACACHTuJAMy8FnjsAAAA5AAAAFQAAAAAAAAABACAAAAALAQAAZHJzL2dyb3Vwc2hh&#10;cGV4bWwueG1sUEsFBgAAAAAGAAYAYAEAAMgDAAAAAA==&#10;">
                            <o:lock v:ext="edit" aspectratio="f"/>
                            <v:group id="组合 15" o:spid="_x0000_s1026" o:spt="203" style="position:absolute;left:1141;top:1705;height:12049;width:9925;" coordorigin="1141,1705" coordsize="9925,12049" o:gfxdata="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0vIGKvAAAANwAAAAPAAAAAAAAAAEAIAAAACIAAABkcnMvZG93bnJldi54bWxQ&#10;SwECFAAUAAAACACHTuJAMy8FnjsAAAA5AAAAFQAAAAAAAAABACAAAAALAQAAZHJzL2dyb3Vwc2hh&#10;cGV4bWwueG1sUEsFBgAAAAAGAAYAYAEAAMgDAAAAAA==&#10;">
                              <o:lock v:ext="edit" aspectratio="f"/>
                              <v:shape id="文本框 16" o:spid="_x0000_s1026" o:spt="202" type="#_x0000_t202" style="position:absolute;left:3430;top:10484;height:772;width:1950;" filled="f" stroked="f" coordsize="21600,21600" o:gfxdata="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fALZ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240" w:lineRule="auto"/>
                                        <w:ind w:firstLine="0" w:firstLineChars="0"/>
                                        <w:jc w:val="left"/>
                                        <w:rPr>
                                          <w:sz w:val="18"/>
                                        </w:rPr>
                                      </w:pPr>
                                      <w:r>
                                        <w:rPr>
                                          <w:rFonts w:hint="eastAsia"/>
                                          <w:sz w:val="18"/>
                                        </w:rPr>
                                        <w:t>可接受风险水平</w:t>
                                      </w:r>
                                    </w:p>
                                    <w:p>
                                      <w:pPr>
                                        <w:spacing w:line="240" w:lineRule="auto"/>
                                        <w:ind w:firstLine="0" w:firstLineChars="0"/>
                                        <w:jc w:val="left"/>
                                        <w:rPr>
                                          <w:sz w:val="18"/>
                                        </w:rPr>
                                      </w:pPr>
                                      <w:r>
                                        <w:rPr>
                                          <w:rFonts w:hint="eastAsia"/>
                                          <w:sz w:val="18"/>
                                        </w:rPr>
                                        <w:t>不可接受风险水平</w:t>
                                      </w:r>
                                    </w:p>
                                  </w:txbxContent>
                                </v:textbox>
                              </v:shape>
                              <v:group id="组合 17" o:spid="_x0000_s1026" o:spt="203" style="position:absolute;left:1141;top:1705;height:12049;width:9925;" coordorigin="1141,1705" coordsize="9925,12049" o:gfxdata="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8CQRvwAAANwAAAAPAAAAAAAAAAEAIAAAACIAAABkcnMvZG93bnJldi54&#10;bWxQSwECFAAUAAAACACHTuJAMy8FnjsAAAA5AAAAFQAAAAAAAAABACAAAAAOAQAAZHJzL2dyb3Vw&#10;c2hhcGV4bWwueG1sUEsFBgAAAAAGAAYAYAEAAMsDAAAAAA==&#10;">
                                <o:lock v:ext="edit" aspectratio="f"/>
                                <v:shape id="自选图形 18" o:spid="_x0000_s1026" o:spt="32" type="#_x0000_t32" style="position:absolute;left:3198;top:9896;height:0;width:7868;" filled="f" stroked="t" coordsize="21600,21600" o:gfxdata="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3S3Ka/&#10;AAAA2wAAAA8AAAAAAAAAAQAgAAAAIgAAAGRycy9kb3ducmV2LnhtbFBLAQIUABQAAAAIAIdO4kAz&#10;LwWeOwAAADkAAAAQAAAAAAAAAAEAIAAAAA4BAABkcnMvc2hhcGV4bWwueG1sUEsFBgAAAAAGAAYA&#10;WwEAALgDAAAAAA==&#10;">
                                  <v:fill on="f" focussize="0,0"/>
                                  <v:stroke color="#000000" joinstyle="round" dashstyle="dash"/>
                                  <v:imagedata o:title=""/>
                                  <o:lock v:ext="edit" aspectratio="f"/>
                                </v:shape>
                                <v:group id="组合 19" o:spid="_x0000_s1026" o:spt="203" style="position:absolute;left:1141;top:1705;height:12049;width:9813;" coordorigin="1141,1705" coordsize="9813,12049" o:gfxdata="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SzP7xvAAAANwAAAAPAAAAAAAAAAEAIAAAACIAAABkcnMvZG93bnJldi54bWxQ&#10;SwECFAAUAAAACACHTuJAMy8FnjsAAAA5AAAAFQAAAAAAAAABACAAAAALAQAAZHJzL2dyb3Vwc2hh&#10;cGV4bWwueG1sUEsFBgAAAAAGAAYAYAEAAMgDAAAAAA==&#10;">
                                  <o:lock v:ext="edit" aspectratio="f"/>
                                  <v:group id="组合 20" o:spid="_x0000_s1026" o:spt="203" style="position:absolute;left:1141;top:1705;height:12049;width:9813;" coordorigin="1141,1705" coordsize="9813,12049" o:gfxdata="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MH88YvAAAANwAAAAPAAAAAAAAAAEAIAAAACIAAABkcnMvZG93bnJldi54bWxQ&#10;SwECFAAUAAAACACHTuJAMy8FnjsAAAA5AAAAFQAAAAAAAAABACAAAAALAQAAZHJzL2dyb3Vwc2hh&#10;cGV4bWwueG1sUEsFBgAAAAAGAAYAYAEAAMgDAAAAAA==&#10;">
                                    <o:lock v:ext="edit" aspectratio="f"/>
                                    <v:group id="组合 21" o:spid="_x0000_s1026" o:spt="203" style="position:absolute;left:1141;top:1705;height:12049;width:9813;" coordorigin="1141,1705" coordsize="9813,12049" o:gfxdata="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gfT0vAAAANwAAAAPAAAAAAAAAAEAIAAAACIAAABkcnMvZG93bnJldi54bWxQ&#10;SwECFAAUAAAACACHTuJAMy8FnjsAAAA5AAAAFQAAAAAAAAABACAAAAALAQAAZHJzL2dyb3Vwc2hh&#10;cGV4bWwueG1sUEsFBgAAAAAGAAYAYAEAAMgDAAAAAA==&#10;">
                                      <o:lock v:ext="edit" aspectratio="f"/>
                                      <v:shape id="文本框 22" o:spid="_x0000_s1026" o:spt="202" type="#_x0000_t202" style="position:absolute;left:3363;top:8306;height:772;width:1874;" filled="f" stroked="f" coordsize="21600,21600" o:gfxdata="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rrzMwtwAAANsAAAAP&#10;AAAAAAAAAAEAIAAAACIAAABkcnMvZG93bnJldi54bWxQSwECFAAUAAAACACHTuJAMy8FnjsAAAA5&#10;AAAAEAAAAAAAAAABACAAAAAGAQAAZHJzL3NoYXBleG1sLnhtbFBLBQYAAAAABgAGAFsBAACwAwAA&#10;AAA=&#10;">
                                        <v:fill on="f" focussize="0,0"/>
                                        <v:stroke on="f"/>
                                        <v:imagedata o:title=""/>
                                        <o:lock v:ext="edit" aspectratio="f"/>
                                        <v:textbox>
                                          <w:txbxContent>
                                            <w:p>
                                              <w:pPr>
                                                <w:spacing w:line="240" w:lineRule="auto"/>
                                                <w:ind w:firstLine="0" w:firstLineChars="0"/>
                                                <w:jc w:val="left"/>
                                                <w:rPr>
                                                  <w:sz w:val="18"/>
                                                </w:rPr>
                                              </w:pPr>
                                              <w:r>
                                                <w:rPr>
                                                  <w:rFonts w:hint="eastAsia"/>
                                                  <w:sz w:val="18"/>
                                                </w:rPr>
                                                <w:t>最大可信事故风险风险评价标准体系</w:t>
                                              </w:r>
                                            </w:p>
                                          </w:txbxContent>
                                        </v:textbox>
                                      </v:shape>
                                      <v:group id="组合 23" o:spid="_x0000_s1026" o:spt="203" style="position:absolute;left:1141;top:1705;height:12049;width:9813;" coordorigin="1141,1705" coordsize="9813,12049" o:gfxdata="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8zVFvvAAAANwAAAAPAAAAAAAAAAEAIAAAACIAAABkcnMvZG93bnJldi54bWxQ&#10;SwECFAAUAAAACACHTuJAMy8FnjsAAAA5AAAAFQAAAAAAAAABACAAAAALAQAAZHJzL2dyb3Vwc2hh&#10;cGV4bWwueG1sUEsFBgAAAAAGAAYAYAEAAMgDAAAAAA==&#10;">
                                        <o:lock v:ext="edit" aspectratio="f"/>
                                        <v:shape id="自选图形 24" o:spid="_x0000_s1026" o:spt="32" type="#_x0000_t32" style="position:absolute;left:3086;top:8006;height:0;width:7868;" filled="f" stroked="t" coordsize="21600,21600" o:gfxdata="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MB7U+/&#10;AAAA2wAAAA8AAAAAAAAAAQAgAAAAIgAAAGRycy9kb3ducmV2LnhtbFBLAQIUABQAAAAIAIdO4kAz&#10;LwWeOwAAADkAAAAQAAAAAAAAAAEAIAAAAA4BAABkcnMvc2hhcGV4bWwueG1sUEsFBgAAAAAGAAYA&#10;WwEAALgDAAAAAA==&#10;">
                                          <v:fill on="f" focussize="0,0"/>
                                          <v:stroke color="#000000" joinstyle="round" dashstyle="dash"/>
                                          <v:imagedata o:title=""/>
                                          <o:lock v:ext="edit" aspectratio="f"/>
                                        </v:shape>
                                        <v:group id="组合 25" o:spid="_x0000_s1026" o:spt="203" style="position:absolute;left:1141;top:1705;height:12049;width:9813;" coordorigin="1141,1705" coordsize="9813,12049" o:gfxdata="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JMkbvAAAANwAAAAPAAAAAAAAAAEAIAAAACIAAABkcnMvZG93bnJldi54bWxQ&#10;SwECFAAUAAAACACHTuJAMy8FnjsAAAA5AAAAFQAAAAAAAAABACAAAAALAQAAZHJzL2dyb3Vwc2hh&#10;cGV4bWwueG1sUEsFBgAAAAAGAAYAYAEAAMgDAAAAAA==&#10;">
                                          <o:lock v:ext="edit" aspectratio="f"/>
                                          <v:shape id="自选图形 26" o:spid="_x0000_s1026" o:spt="32" type="#_x0000_t32" style="position:absolute;left:3086;top:5967;height:0;width:7868;" filled="f" stroked="t" coordsize="21600,21600" o:gfxdata="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8V45vugAAANsA&#10;AAAPAAAAAAAAAAEAIAAAACIAAABkcnMvZG93bnJldi54bWxQSwECFAAUAAAACACHTuJAMy8FnjsA&#10;AAA5AAAAEAAAAAAAAAABACAAAAAJAQAAZHJzL3NoYXBleG1sLnhtbFBLBQYAAAAABgAGAFsBAACz&#10;AwAAAAA=&#10;">
                                            <v:fill on="f" focussize="0,0"/>
                                            <v:stroke color="#000000" joinstyle="round" dashstyle="dash"/>
                                            <v:imagedata o:title=""/>
                                            <o:lock v:ext="edit" aspectratio="f"/>
                                          </v:shape>
                                          <v:group id="组合 27" o:spid="_x0000_s1026" o:spt="203" style="position:absolute;left:1141;top:1705;height:12049;width:9813;" coordorigin="1141,1705" coordsize="9813,12049" o:gfxdata="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GhsgL0AAADcAAAADwAAAAAAAAABACAAAAAiAAAAZHJzL2Rvd25yZXYueG1s&#10;UEsBAhQAFAAAAAgAh07iQDMvBZ47AAAAOQAAABUAAAAAAAAAAQAgAAAADAEAAGRycy9ncm91cHNo&#10;YXBleG1sLnhtbFBLBQYAAAAABgAGAGABAADJAwAAAAA=&#10;">
                                            <o:lock v:ext="edit" aspectratio="f"/>
                                            <v:group id="组合 28" o:spid="_x0000_s1026" o:spt="203" style="position:absolute;left:1141;top:1705;height:12049;width:9813;" coordorigin="1141,1705" coordsize="9813,12049" o:gfxdata="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P2V2y+AAAA3AAAAA8AAAAAAAAAAQAgAAAAIgAAAGRycy9kb3ducmV2Lnht&#10;bFBLAQIUABQAAAAIAIdO4kAzLwWeOwAAADkAAAAVAAAAAAAAAAEAIAAAAA0BAABkcnMvZ3JvdXBz&#10;aGFwZXhtbC54bWxQSwUGAAAAAAYABgBgAQAAygMAAAAA&#10;">
                                              <o:lock v:ext="edit" aspectratio="f"/>
                                              <v:group id="组合 29" o:spid="_x0000_s1026" o:spt="203" style="position:absolute;left:1141;top:1705;height:12049;width:9813;" coordorigin="1141,1705" coordsize="9813,12049" o:gfxdata="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hZzbe+AAAA3AAAAA8AAAAAAAAAAQAgAAAAIgAAAGRycy9kb3ducmV2Lnht&#10;bFBLAQIUABQAAAAIAIdO4kAzLwWeOwAAADkAAAAVAAAAAAAAAAEAIAAAAA0BAABkcnMvZ3JvdXBz&#10;aGFwZXhtbC54bWxQSwUGAAAAAAYABgBgAQAAygMAAAAA&#10;">
                                                <o:lock v:ext="edit" aspectratio="f"/>
                                                <v:group id="组合 30" o:spid="_x0000_s1026" o:spt="203" style="position:absolute;left:1141;top:1705;height:12049;width:9813;" coordorigin="1141,1705" coordsize="9813,12049" o:gfxdata="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mivxevAAAANwAAAAPAAAAAAAAAAEAIAAAACIAAABkcnMvZG93bnJldi54bWxQ&#10;SwECFAAUAAAACACHTuJAMy8FnjsAAAA5AAAAFQAAAAAAAAABACAAAAALAQAAZHJzL2dyb3Vwc2hh&#10;cGV4bWwueG1sUEsFBgAAAAAGAAYAYAEAAMgDAAAAAA==&#10;">
                                                  <o:lock v:ext="edit" aspectratio="f"/>
                                                  <v:shape id="文本框 31" o:spid="_x0000_s1026" o:spt="202" type="#_x0000_t202" style="position:absolute;left:8854;top:4370;height:772;width:1650;" filled="f" stroked="f" coordsize="21600,21600" o:gfxdata="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VA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240" w:lineRule="auto"/>
                                                            <w:ind w:firstLine="0" w:firstLineChars="0"/>
                                                            <w:jc w:val="left"/>
                                                            <w:rPr>
                                                              <w:sz w:val="18"/>
                                                            </w:rPr>
                                                          </w:pPr>
                                                          <w:r>
                                                            <w:rPr>
                                                              <w:rFonts w:hint="eastAsia"/>
                                                              <w:sz w:val="18"/>
                                                            </w:rPr>
                                                            <w:t>确定最大可信事故及其概率</w:t>
                                                          </w:r>
                                                        </w:p>
                                                      </w:txbxContent>
                                                    </v:textbox>
                                                  </v:shape>
                                                  <v:group id="组合 32" o:spid="_x0000_s1026" o:spt="203" style="position:absolute;left:1141;top:1705;height:12049;width:9813;" coordorigin="1141,1705" coordsize="9813,12049" o:gfxdata="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WWGIpvAAAANwAAAAPAAAAAAAAAAEAIAAAACIAAABkcnMvZG93bnJldi54bWxQ&#10;SwECFAAUAAAACACHTuJAMy8FnjsAAAA5AAAAFQAAAAAAAAABACAAAAALAQAAZHJzL2dyb3Vwc2hh&#10;cGV4bWwueG1sUEsFBgAAAAAGAAYAYAEAAMgDAAAAAA==&#10;">
                                                    <o:lock v:ext="edit" aspectratio="f"/>
                                                    <v:shape id="文本框 33" o:spid="_x0000_s1026" o:spt="202" type="#_x0000_t202" style="position:absolute;left:7129;top:5374;height:495;width:1119;" filled="f" stroked="f" coordsize="21600,21600" o:gfxdata="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K85n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240" w:lineRule="auto"/>
                                                              <w:ind w:firstLine="0" w:firstLineChars="0"/>
                                                              <w:jc w:val="left"/>
                                                              <w:rPr>
                                                                <w:sz w:val="18"/>
                                                              </w:rPr>
                                                            </w:pPr>
                                                            <w:r>
                                                              <w:rPr>
                                                                <w:rFonts w:hint="eastAsia"/>
                                                                <w:sz w:val="18"/>
                                                              </w:rPr>
                                                              <w:t>事故树法</w:t>
                                                            </w:r>
                                                          </w:p>
                                                        </w:txbxContent>
                                                      </v:textbox>
                                                    </v:shape>
                                                    <v:group id="组合 34" o:spid="_x0000_s1026" o:spt="203" style="position:absolute;left:1141;top:1705;height:12049;width:9813;" coordorigin="1141,1705" coordsize="9813,12049" o:gfxdata="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kUx7K7AAAA3AAAAA8AAAAAAAAAAQAgAAAAIgAAAGRycy9kb3ducmV2LnhtbFBL&#10;AQIUABQAAAAIAIdO4kAzLwWeOwAAADkAAAAVAAAAAAAAAAEAIAAAAAoBAABkcnMvZ3JvdXBzaGFw&#10;ZXhtbC54bWxQSwUGAAAAAAYABgBgAQAAxwMAAAAA&#10;">
                                                      <o:lock v:ext="edit" aspectratio="f"/>
                                                      <v:shape id="自选图形 35" o:spid="_x0000_s1026" o:spt="32" type="#_x0000_t32" style="position:absolute;left:1486;top:2297;height:0;width:9354;" filled="f" stroked="t" coordsize="21600,21600" o:gfxdata="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IUQGL4A&#10;AADbAAAADwAAAAAAAAABACAAAAAiAAAAZHJzL2Rvd25yZXYueG1sUEsBAhQAFAAAAAgAh07iQDMv&#10;BZ47AAAAOQAAABAAAAAAAAAAAQAgAAAADQEAAGRycy9zaGFwZXhtbC54bWxQSwUGAAAAAAYABgBb&#10;AQAAtwMAAAAA&#10;">
                                                        <v:fill on="f" focussize="0,0"/>
                                                        <v:stroke color="#000000" joinstyle="round" dashstyle="dash"/>
                                                        <v:imagedata o:title=""/>
                                                        <o:lock v:ext="edit" aspectratio="f"/>
                                                      </v:shape>
                                                      <v:group id="组合 36" o:spid="_x0000_s1026" o:spt="203" style="position:absolute;left:1141;top:1705;height:12049;width:9813;" coordorigin="1141,1705" coordsize="9813,12049" o:gfxdata="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v1fxr0AAADcAAAADwAAAAAAAAABACAAAAAiAAAAZHJzL2Rvd25yZXYueG1s&#10;UEsBAhQAFAAAAAgAh07iQDMvBZ47AAAAOQAAABUAAAAAAAAAAQAgAAAADAEAAGRycy9ncm91cHNo&#10;YXBleG1sLnhtbFBLBQYAAAAABgAGAGABAADJAwAAAAA=&#10;">
                                                        <o:lock v:ext="edit" aspectratio="f"/>
                                                        <v:shape id="文本框 37" o:spid="_x0000_s1026" o:spt="202" type="#_x0000_t202" style="position:absolute;left:9294;top:1736;height:645;width:863;" filled="f" stroked="f" coordsize="21600,21600" o:gfxdata="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jvOI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ind w:firstLine="0" w:firstLineChars="0"/>
                                                                  <w:jc w:val="left"/>
                                                                  <w:rPr>
                                                                    <w:sz w:val="21"/>
                                                                  </w:rPr>
                                                                </w:pPr>
                                                                <w:r>
                                                                  <w:rPr>
                                                                    <w:rFonts w:hint="eastAsia"/>
                                                                    <w:sz w:val="21"/>
                                                                  </w:rPr>
                                                                  <w:t>目标</w:t>
                                                                </w:r>
                                                              </w:p>
                                                            </w:txbxContent>
                                                          </v:textbox>
                                                        </v:shape>
                                                        <v:group id="组合 38" o:spid="_x0000_s1026" o:spt="203" style="position:absolute;left:1141;top:1705;height:12049;width:9813;" coordorigin="1141,1705" coordsize="9813,12049" o:gfxdata="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bH6Xb0AAADcAAAADwAAAAAAAAABACAAAAAiAAAAZHJzL2Rvd25yZXYueG1s&#10;UEsBAhQAFAAAAAgAh07iQDMvBZ47AAAAOQAAABUAAAAAAAAAAQAgAAAADAEAAGRycy9ncm91cHNo&#10;YXBleG1sLnhtbFBLBQYAAAAABgAGAGABAADJAwAAAAA=&#10;">
                                                          <o:lock v:ext="edit" aspectratio="f"/>
                                                          <v:shape id="文本框 39" o:spid="_x0000_s1026" o:spt="202" type="#_x0000_t202" style="position:absolute;left:8661;top:2321;height:772;width:2293;" filled="f" stroked="f" coordsize="21600,21600" o:gfxdata="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wlYT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240" w:lineRule="auto"/>
                                                                    <w:ind w:firstLine="0" w:firstLineChars="0"/>
                                                                    <w:jc w:val="left"/>
                                                                    <w:rPr>
                                                                      <w:sz w:val="18"/>
                                                                    </w:rPr>
                                                                  </w:pPr>
                                                                  <w:r>
                                                                    <w:rPr>
                                                                      <w:rFonts w:hint="eastAsia"/>
                                                                      <w:sz w:val="18"/>
                                                                    </w:rPr>
                                                                    <w:t>确定风险因素和风险类型</w:t>
                                                                  </w:r>
                                                                </w:p>
                                                              </w:txbxContent>
                                                            </v:textbox>
                                                          </v:shape>
                                                          <v:group id="组合 40" o:spid="_x0000_s1026" o:spt="203" style="position:absolute;left:1141;top:1705;height:12049;width:7359;" coordorigin="1141,1705" coordsize="7359,12049" o:gfxdata="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WNkKr0AAADcAAAADwAAAAAAAAABACAAAAAiAAAAZHJzL2Rvd25yZXYueG1s&#10;UEsBAhQAFAAAAAgAh07iQDMvBZ47AAAAOQAAABUAAAAAAAAAAQAgAAAADAEAAGRycy9ncm91cHNo&#10;YXBleG1sLnhtbFBLBQYAAAAABgAGAGABAADJAwAAAAA=&#10;">
                                                            <o:lock v:ext="edit" aspectratio="f"/>
                                                            <v:shape id="文本框 41" o:spid="_x0000_s1026" o:spt="202" type="#_x0000_t202" style="position:absolute;left:6207;top:2341;height:680;width:2293;" filled="f" stroked="f" coordsize="21600,21600" o:gfxdata="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EMhk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240" w:lineRule="auto"/>
                                                                      <w:ind w:firstLine="0" w:firstLineChars="0"/>
                                                                      <w:jc w:val="left"/>
                                                                      <w:rPr>
                                                                        <w:sz w:val="18"/>
                                                                      </w:rPr>
                                                                    </w:pPr>
                                                                    <w:r>
                                                                      <w:rPr>
                                                                        <w:rFonts w:hint="eastAsia"/>
                                                                        <w:sz w:val="18"/>
                                                                      </w:rPr>
                                                                      <w:t>检查表法，评分法，概率评价法</w:t>
                                                                    </w:r>
                                                                  </w:p>
                                                                </w:txbxContent>
                                                              </v:textbox>
                                                            </v:shape>
                                                            <v:group id="组合 42" o:spid="_x0000_s1026" o:spt="203" style="position:absolute;left:1141;top:1705;height:12049;width:6854;" coordorigin="1141,1705" coordsize="6854,12049" o:gfxdata="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YvwbG+AAAA3AAAAA8AAAAAAAAAAQAgAAAAIgAAAGRycy9kb3ducmV2Lnht&#10;bFBLAQIUABQAAAAIAIdO4kAzLwWeOwAAADkAAAAVAAAAAAAAAAEAIAAAAA0BAABkcnMvZ3JvdXBz&#10;aGFwZXhtbC54bWxQSwUGAAAAAAYABgBgAQAAygMAAAAA&#10;">
                                                              <o:lock v:ext="edit" aspectratio="f"/>
                                                              <v:shape id="文本框 43" o:spid="_x0000_s1026" o:spt="202" type="#_x0000_t202" style="position:absolute;left:7112;top:3612;height:495;width:866;" filled="f" stroked="f" coordsize="21600,21600" o:gfxdata="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XG3/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240" w:lineRule="auto"/>
                                                                        <w:ind w:firstLine="0" w:firstLineChars="0"/>
                                                                        <w:jc w:val="left"/>
                                                                        <w:rPr>
                                                                          <w:sz w:val="18"/>
                                                                        </w:rPr>
                                                                      </w:pPr>
                                                                      <w:r>
                                                                        <w:rPr>
                                                                          <w:rFonts w:hint="eastAsia"/>
                                                                          <w:sz w:val="18"/>
                                                                        </w:rPr>
                                                                        <w:t>加权法</w:t>
                                                                      </w:r>
                                                                    </w:p>
                                                                  </w:txbxContent>
                                                                </v:textbox>
                                                              </v:shape>
                                                              <v:group id="组合 44" o:spid="_x0000_s1026" o:spt="203" style="position:absolute;left:1141;top:1705;height:12049;width:6854;" coordorigin="1141,1705" coordsize="6854,12049" o:gfxdata="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eaKRvAAAANwAAAAPAAAAAAAAAAEAIAAAACIAAABkcnMvZG93bnJldi54bWxQ&#10;SwECFAAUAAAACACHTuJAMy8FnjsAAAA5AAAAFQAAAAAAAAABACAAAAALAQAAZHJzL2dyb3Vwc2hh&#10;cGV4bWwueG1sUEsFBgAAAAAGAAYAYAEAAMgDAAAAAA==&#10;">
                                                                <o:lock v:ext="edit" aspectratio="f"/>
                                                                <v:shape id="文本框 45" o:spid="_x0000_s1026" o:spt="202" type="#_x0000_t202" style="position:absolute;left:7129;top:3021;height:495;width:866;" filled="f" stroked="f" coordsize="21600,21600" o:gfxdata="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XD+Y2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spacing w:line="240" w:lineRule="auto"/>
                                                                          <w:ind w:firstLine="0" w:firstLineChars="0"/>
                                                                          <w:jc w:val="left"/>
                                                                          <w:rPr>
                                                                            <w:sz w:val="18"/>
                                                                          </w:rPr>
                                                                        </w:pPr>
                                                                        <w:r>
                                                                          <w:rPr>
                                                                            <w:rFonts w:hint="eastAsia"/>
                                                                            <w:sz w:val="18"/>
                                                                          </w:rPr>
                                                                          <w:t>类比法</w:t>
                                                                        </w:r>
                                                                      </w:p>
                                                                    </w:txbxContent>
                                                                  </v:textbox>
                                                                </v:shape>
                                                                <v:group id="组合 46" o:spid="_x0000_s1026" o:spt="203" style="position:absolute;left:1141;top:1705;height:12049;width:6854;" coordorigin="1141,1705" coordsize="6854,12049" o:gfxdata="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2NQcKvwAAANwAAAAPAAAAAAAAAAEAIAAAACIAAABkcnMvZG93bnJldi54&#10;bWxQSwECFAAUAAAACACHTuJAMy8FnjsAAAA5AAAAFQAAAAAAAAABACAAAAAOAQAAZHJzL2dyb3Vw&#10;c2hhcGV4bWwueG1sUEsFBgAAAAAGAAYAYAEAAMsDAAAAAA==&#10;">
                                                                  <o:lock v:ext="edit" aspectratio="f"/>
                                                                  <v:shape id="文本框 47" o:spid="_x0000_s1026" o:spt="202" type="#_x0000_t202" style="position:absolute;left:7112;top:4983;height:495;width:866;" filled="f" stroked="f" coordsize="21600,21600" o:gfxdata="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j1wW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240" w:lineRule="auto"/>
                                                                            <w:ind w:firstLine="0" w:firstLineChars="0"/>
                                                                            <w:jc w:val="left"/>
                                                                            <w:rPr>
                                                                              <w:sz w:val="18"/>
                                                                            </w:rPr>
                                                                          </w:pPr>
                                                                          <w:r>
                                                                            <w:rPr>
                                                                              <w:rFonts w:hint="eastAsia"/>
                                                                              <w:sz w:val="18"/>
                                                                            </w:rPr>
                                                                            <w:t>概率法</w:t>
                                                                          </w:r>
                                                                        </w:p>
                                                                      </w:txbxContent>
                                                                    </v:textbox>
                                                                  </v:shape>
                                                                  <v:group id="组合 48" o:spid="_x0000_s1026" o:spt="203" style="position:absolute;left:1141;top:1705;height:12049;width:6854;" coordorigin="1141,1705" coordsize="6854,12049" o:gfxdata="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HqpN4vAAAANwAAAAPAAAAAAAAAAEAIAAAACIAAABkcnMvZG93bnJldi54bWxQ&#10;SwECFAAUAAAACACHTuJAMy8FnjsAAAA5AAAAFQAAAAAAAAABACAAAAALAQAAZHJzL2dyb3Vwc2hh&#10;cGV4bWwueG1sUEsFBgAAAAAGAAYAYAEAAMgDAAAAAA==&#10;">
                                                                    <o:lock v:ext="edit" aspectratio="f"/>
                                                                    <v:shape id="文本框 49" o:spid="_x0000_s1026" o:spt="202" type="#_x0000_t202" style="position:absolute;left:7129;top:4620;height:495;width:866;" filled="f" stroked="f" coordsize="21600,21600" o:gfxdata="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5sY1a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spacing w:line="240" w:lineRule="auto"/>
                                                                              <w:ind w:firstLine="0" w:firstLineChars="0"/>
                                                                              <w:jc w:val="left"/>
                                                                              <w:rPr>
                                                                                <w:sz w:val="18"/>
                                                                              </w:rPr>
                                                                            </w:pPr>
                                                                            <w:r>
                                                                              <w:rPr>
                                                                                <w:rFonts w:hint="eastAsia"/>
                                                                                <w:sz w:val="18"/>
                                                                              </w:rPr>
                                                                              <w:t>指数法</w:t>
                                                                            </w:r>
                                                                          </w:p>
                                                                        </w:txbxContent>
                                                                      </v:textbox>
                                                                    </v:shape>
                                                                    <v:group id="组合 50" o:spid="_x0000_s1026" o:spt="203" style="position:absolute;left:1141;top:1705;height:12049;width:6513;" coordorigin="1141,1705" coordsize="6513,12049" o:gfxdata="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OY2470AAADcAAAADwAAAAAAAAABACAAAAAiAAAAZHJzL2Rvd25yZXYueG1s&#10;UEsBAhQAFAAAAAgAh07iQDMvBZ47AAAAOQAAABUAAAAAAAAAAQAgAAAADAEAAGRycy9ncm91cHNo&#10;YXBleG1sLnhtbFBLBQYAAAAABgAGAGABAADJAwAAAAA=&#10;">
                                                                      <o:lock v:ext="edit" aspectratio="f"/>
                                                                      <v:shape id="文本框 51" o:spid="_x0000_s1026" o:spt="202" type="#_x0000_t202" style="position:absolute;left:6135;top:4983;height:495;width:659;" filled="f" stroked="f" coordsize="21600,21600" o:gfxdata="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IMbN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240" w:lineRule="auto"/>
                                                                                <w:ind w:firstLine="0" w:firstLineChars="0"/>
                                                                                <w:jc w:val="left"/>
                                                                                <w:rPr>
                                                                                  <w:sz w:val="18"/>
                                                                                </w:rPr>
                                                                              </w:pPr>
                                                                              <w:r>
                                                                                <w:rPr>
                                                                                  <w:rFonts w:hint="eastAsia"/>
                                                                                  <w:sz w:val="18"/>
                                                                                </w:rPr>
                                                                                <w:t>定量</w:t>
                                                                              </w:r>
                                                                            </w:p>
                                                                          </w:txbxContent>
                                                                        </v:textbox>
                                                                      </v:shape>
                                                                      <v:group id="组合 52" o:spid="_x0000_s1026" o:spt="203" style="position:absolute;left:1141;top:1705;height:12049;width:6513;" coordorigin="1141,1705" coordsize="6513,12049" o:gfxdata="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GDSolL0AAADcAAAADwAAAAAAAAABACAAAAAiAAAAZHJzL2Rvd25yZXYueG1s&#10;UEsBAhQAFAAAAAgAh07iQDMvBZ47AAAAOQAAABUAAAAAAAAAAQAgAAAADAEAAGRycy9ncm91cHNo&#10;YXBleG1sLnhtbFBLBQYAAAAABgAGAGABAADJAwAAAAA=&#10;">
                                                                        <o:lock v:ext="edit" aspectratio="f"/>
                                                                        <v:group id="组合 53" o:spid="_x0000_s1026" o:spt="203" style="position:absolute;left:1141;top:1705;height:12049;width:6513;" coordorigin="1141,1705" coordsize="6513,12049" o:gfxdata="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oDRMvAAAANwAAAAPAAAAAAAAAAEAIAAAACIAAABkcnMvZG93bnJldi54bWxQ&#10;SwECFAAUAAAACACHTuJAMy8FnjsAAAA5AAAAFQAAAAAAAAABACAAAAALAQAAZHJzL2dyb3Vwc2hh&#10;cGV4bWwueG1sUEsFBgAAAAAGAAYAYAEAAMgDAAAAAA==&#10;">
                                                                          <o:lock v:ext="edit" aspectratio="f"/>
                                                                          <v:group id="组合 54" o:spid="_x0000_s1026" o:spt="203" style="position:absolute;left:1141;top:1705;height:12049;width:6513;" coordorigin="1141,1705" coordsize="6513,12049" o:gfxdata="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cwWlvAAAANwAAAAPAAAAAAAAAAEAIAAAACIAAABkcnMvZG93bnJldi54bWxQ&#10;SwECFAAUAAAACACHTuJAMy8FnjsAAAA5AAAAFQAAAAAAAAABACAAAAALAQAAZHJzL2dyb3Vwc2hh&#10;cGV4bWwueG1sUEsFBgAAAAAGAAYAYAEAAMgDAAAAAA==&#10;">
                                                                            <o:lock v:ext="edit" aspectratio="f"/>
                                                                            <v:shape id="文本框 55" o:spid="_x0000_s1026" o:spt="202" type="#_x0000_t202" style="position:absolute;left:6791;top:1729;height:645;width:863;" filled="f" stroked="f" coordsize="21600,21600" o:gfxdata="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8li6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ind w:firstLine="0" w:firstLineChars="0"/>
                                                                                      <w:jc w:val="left"/>
                                                                                      <w:rPr>
                                                                                        <w:sz w:val="21"/>
                                                                                      </w:rPr>
                                                                                    </w:pPr>
                                                                                    <w:r>
                                                                                      <w:rPr>
                                                                                        <w:rFonts w:hint="eastAsia"/>
                                                                                        <w:sz w:val="21"/>
                                                                                      </w:rPr>
                                                                                      <w:t>方法</w:t>
                                                                                    </w:r>
                                                                                  </w:p>
                                                                                </w:txbxContent>
                                                                              </v:textbox>
                                                                            </v:shape>
                                                                            <v:group id="组合 56" o:spid="_x0000_s1026" o:spt="203" style="position:absolute;left:1141;top:1705;height:12049;width:4515;" coordorigin="1141,1705" coordsize="4515,12049" o:gfxdata="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T+gPr0AAADcAAAADwAAAAAAAAABACAAAAAiAAAAZHJzL2Rvd25yZXYueG1s&#10;UEsBAhQAFAAAAAgAh07iQDMvBZ47AAAAOQAAABUAAAAAAAAAAQAgAAAADAEAAGRycy9ncm91cHNo&#10;YXBleG1sLnhtbFBLBQYAAAAABgAGAGABAADJAwAAAAA=&#10;">
                                                                              <o:lock v:ext="edit" aspectratio="f"/>
                                                                              <v:shape id="文本框 57" o:spid="_x0000_s1026" o:spt="202" type="#_x0000_t202" style="position:absolute;left:3363;top:2350;height:772;width:2293;" filled="f" stroked="f" coordsize="21600,21600" o:gfxdata="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6+/SG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spacing w:line="240" w:lineRule="auto"/>
                                                                                        <w:ind w:firstLine="0" w:firstLineChars="0"/>
                                                                                        <w:jc w:val="left"/>
                                                                                        <w:rPr>
                                                                                          <w:sz w:val="18"/>
                                                                                        </w:rPr>
                                                                                      </w:pPr>
                                                                                      <w:r>
                                                                                        <w:rPr>
                                                                                          <w:rFonts w:hint="eastAsia"/>
                                                                                          <w:sz w:val="18"/>
                                                                                        </w:rPr>
                                                                                        <w:t>原料、辅料、中间和最终产品、工厂综合评价法</w:t>
                                                                                      </w:r>
                                                                                    </w:p>
                                                                                  </w:txbxContent>
                                                                                </v:textbox>
                                                                              </v:shape>
                                                                              <v:group id="组合 58" o:spid="_x0000_s1026" o:spt="203" style="position:absolute;left:1141;top:1705;height:12049;width:3713;" coordorigin="1141,1705" coordsize="3713,12049" o:gfxdata="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e0+Sb0AAADcAAAADwAAAAAAAAABACAAAAAiAAAAZHJzL2Rvd25yZXYueG1s&#10;UEsBAhQAFAAAAAgAh07iQDMvBZ47AAAAOQAAABUAAAAAAAAAAQAgAAAADAEAAGRycy9ncm91cHNo&#10;YXBleG1sLnhtbFBLBQYAAAAABgAGAGABAADJAwAAAAA=&#10;">
                                                                                <o:lock v:ext="edit" aspectratio="f"/>
                                                                                <v:shape id="文本框 59" o:spid="_x0000_s1026" o:spt="202" type="#_x0000_t202" style="position:absolute;left:3991;top:1705;height:645;width:863;" filled="f" stroked="f" coordsize="21600,21600" o:gfxdata="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XZVW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ind w:firstLine="0" w:firstLineChars="0"/>
                                                                                          <w:jc w:val="left"/>
                                                                                          <w:rPr>
                                                                                            <w:sz w:val="21"/>
                                                                                          </w:rPr>
                                                                                        </w:pPr>
                                                                                        <w:r>
                                                                                          <w:rPr>
                                                                                            <w:rFonts w:hint="eastAsia"/>
                                                                                            <w:sz w:val="21"/>
                                                                                          </w:rPr>
                                                                                          <w:t>对象</w:t>
                                                                                        </w:r>
                                                                                      </w:p>
                                                                                    </w:txbxContent>
                                                                                  </v:textbox>
                                                                                </v:shape>
                                                                                <v:group id="组合 60" o:spid="_x0000_s1026" o:spt="203" style="position:absolute;left:1141;top:1705;height:12049;width:2573;" coordorigin="1141,1705" coordsize="2573,12049" o:gfxdata="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yoZvSvAAAANwAAAAPAAAAAAAAAAEAIAAAACIAAABkcnMvZG93bnJldi54bWxQ&#10;SwECFAAUAAAACACHTuJAMy8FnjsAAAA5AAAAFQAAAAAAAAABACAAAAALAQAAZHJzL2dyb3Vwc2hh&#10;cGV4bWwueG1sUEsFBgAAAAAGAAYAYAEAAMgDAAAAAA==&#10;">
                                                                                  <o:lock v:ext="edit" aspectratio="f"/>
                                                                                  <v:shape id="文本框 61" o:spid="_x0000_s1026" o:spt="202" type="#_x0000_t202" style="position:absolute;left:1889;top:1705;height:645;width:863;" filled="f" stroked="f" coordsize="21600,21600" o:gfxdata="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G8DO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ind w:firstLine="0" w:firstLineChars="0"/>
                                                                                            <w:jc w:val="left"/>
                                                                                            <w:rPr>
                                                                                              <w:sz w:val="21"/>
                                                                                            </w:rPr>
                                                                                          </w:pPr>
                                                                                          <w:r>
                                                                                            <w:rPr>
                                                                                              <w:rFonts w:hint="eastAsia"/>
                                                                                              <w:sz w:val="21"/>
                                                                                            </w:rPr>
                                                                                            <w:t>步骤</w:t>
                                                                                          </w:r>
                                                                                        </w:p>
                                                                                      </w:txbxContent>
                                                                                    </v:textbox>
                                                                                  </v:shape>
                                                                                  <v:group id="组合 62" o:spid="_x0000_s1026" o:spt="203" style="position:absolute;left:1141;top:2592;height:11162;width:2573;" coordorigin="1141,2592" coordsize="2573,11162" o:gfxdata="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1IA6a7AAAA3AAAAA8AAAAAAAAAAQAgAAAAIgAAAGRycy9kb3ducmV2LnhtbFBL&#10;AQIUABQAAAAIAIdO4kAzLwWeOwAAADkAAAAVAAAAAAAAAAEAIAAAAAoBAABkcnMvZ3JvdXBzaGFw&#10;ZXhtbC54bWxQSwUGAAAAAAYABgBgAQAAxwMAAAAA&#10;">
                                                                                    <o:lock v:ext="edit" aspectratio="f"/>
                                                                                    <v:shape id="文本框 63" o:spid="_x0000_s1026" o:spt="202" type="#_x0000_t202" style="position:absolute;left:1602;top:9550;height:737;width:1368;" filled="f" stroked="f" coordsize="21600,21600" o:gfxdata="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V65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240" w:lineRule="auto"/>
                                                                                              <w:ind w:firstLine="315" w:firstLineChars="150"/>
                                                                                              <w:jc w:val="left"/>
                                                                                              <w:rPr>
                                                                                                <w:sz w:val="21"/>
                                                                                              </w:rPr>
                                                                                            </w:pPr>
                                                                                            <w:r>
                                                                                              <w:rPr>
                                                                                                <w:rFonts w:hint="eastAsia"/>
                                                                                                <w:sz w:val="21"/>
                                                                                              </w:rPr>
                                                                                              <w:t>风险</w:t>
                                                                                            </w:r>
                                                                                          </w:p>
                                                                                          <w:p>
                                                                                            <w:pPr>
                                                                                              <w:spacing w:line="240" w:lineRule="auto"/>
                                                                                              <w:ind w:firstLine="0" w:firstLineChars="0"/>
                                                                                              <w:jc w:val="left"/>
                                                                                              <w:rPr>
                                                                                                <w:sz w:val="21"/>
                                                                                              </w:rPr>
                                                                                            </w:pPr>
                                                                                            <w:r>
                                                                                              <w:rPr>
                                                                                                <w:rFonts w:hint="eastAsia"/>
                                                                                                <w:sz w:val="21"/>
                                                                                              </w:rPr>
                                                                                              <w:t>可接受水平</w:t>
                                                                                            </w:r>
                                                                                          </w:p>
                                                                                        </w:txbxContent>
                                                                                      </v:textbox>
                                                                                    </v:shape>
                                                                                    <v:group id="组合 64" o:spid="_x0000_s1026" o:spt="203" style="position:absolute;left:1141;top:2592;height:11162;width:2573;" coordorigin="1141,2592" coordsize="2573,11162" o:gfxdata="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gSmPb0AAADcAAAADwAAAAAAAAABACAAAAAiAAAAZHJzL2Rvd25yZXYueG1s&#10;UEsBAhQAFAAAAAgAh07iQDMvBZ47AAAAOQAAABUAAAAAAAAAAQAgAAAADAEAAGRycy9ncm91cHNo&#10;YXBleG1sLnhtbFBLBQYAAAAABgAGAGABAADJAwAAAAA=&#10;">
                                                                                      <o:lock v:ext="edit" aspectratio="f"/>
                                                                                      <v:shape id="文本框 65" o:spid="_x0000_s1026" o:spt="202" type="#_x0000_t202" style="position:absolute;left:3086;top:9977;height:507;width:628;" filled="f" stroked="f" coordsize="21600,21600" o:gfxdata="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F+yK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spacing w:line="240" w:lineRule="auto"/>
                                                                                                <w:ind w:firstLine="0" w:firstLineChars="0"/>
                                                                                                <w:jc w:val="left"/>
                                                                                                <w:rPr>
                                                                                                  <w:sz w:val="18"/>
                                                                                                </w:rPr>
                                                                                              </w:pPr>
                                                                                              <w:r>
                                                                                                <w:rPr>
                                                                                                  <w:rFonts w:hint="eastAsia"/>
                                                                                                  <w:sz w:val="18"/>
                                                                                                </w:rPr>
                                                                                                <w:t>是</w:t>
                                                                                              </w:r>
                                                                                            </w:p>
                                                                                          </w:txbxContent>
                                                                                        </v:textbox>
                                                                                      </v:shape>
                                                                                      <v:group id="组合 66" o:spid="_x0000_s1026" o:spt="203" style="position:absolute;left:1141;top:2592;height:11162;width:2057;" coordorigin="1141,2592" coordsize="2057,11162" o:gfxdata="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1jhKvAAAANwAAAAPAAAAAAAAAAEAIAAAACIAAABkcnMvZG93bnJldi54bWxQ&#10;SwECFAAUAAAACACHTuJAMy8FnjsAAAA5AAAAFQAAAAAAAAABACAAAAALAQAAZHJzL2dyb3Vwc2hh&#10;cGV4bWwueG1sUEsFBgAAAAAGAAYAYAEAAMgDAAAAAA==&#10;">
                                                                                        <o:lock v:ext="edit" aspectratio="f"/>
                                                                                        <v:group id="组合 67" o:spid="_x0000_s1026" o:spt="203" style="position:absolute;left:1141;top:2592;height:11162;width:2057;" coordorigin="1141,2592" coordsize="2057,11162" o:gfxdata="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QNAo7vwAAANsAAAAPAAAAAAAAAAEAIAAAACIAAABkcnMvZG93bnJldi54&#10;bWxQSwECFAAUAAAACACHTuJAMy8FnjsAAAA5AAAAFQAAAAAAAAABACAAAAAOAQAAZHJzL2dyb3Vw&#10;c2hhcGV4bWwueG1sUEsFBgAAAAAGAAYAYAEAAMsDAAAAAA==&#10;">
                                                                                          <o:lock v:ext="edit" aspectratio="f"/>
                                                                                          <v:shape id="文本框 68" o:spid="_x0000_s1026" o:spt="202" type="#_x0000_t202" style="position:absolute;left:1602;top:13109;height:645;width:1199;" filled="f" stroked="t" coordsize="21600,21600" o:gfxdata="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qRJO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pPr>
                                                                                                    <w:ind w:firstLine="0" w:firstLineChars="0"/>
                                                                                                    <w:jc w:val="left"/>
                                                                                                    <w:rPr>
                                                                                                      <w:sz w:val="21"/>
                                                                                                    </w:rPr>
                                                                                                  </w:pPr>
                                                                                                  <w:r>
                                                                                                    <w:rPr>
                                                                                                      <w:rFonts w:hint="eastAsia"/>
                                                                                                      <w:sz w:val="21"/>
                                                                                                    </w:rPr>
                                                                                                    <w:t>应急措施</w:t>
                                                                                                  </w:r>
                                                                                                </w:p>
                                                                                              </w:txbxContent>
                                                                                            </v:textbox>
                                                                                          </v:shape>
                                                                                          <v:shape id="自选图形 69" o:spid="_x0000_s1026" o:spt="32" type="#_x0000_t32" style="position:absolute;left:1141;top:13422;flip:x;height:0;width:461;" filled="f" stroked="t" coordsize="21600,21600" o:gfxdata="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PPN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自选图形 70" o:spid="_x0000_s1026" o:spt="32" type="#_x0000_t32" style="position:absolute;left:1141;top:4863;flip:y;height:8559;width:0;" filled="f" stroked="t" coordsize="21600,21600" o:gfxdata="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hg5W6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group id="组合 71" o:spid="_x0000_s1026" o:spt="203" style="position:absolute;left:1141;top:2592;height:9527;width:2057;" coordorigin="1141,2592" coordsize="2057,9527" o:gfxdata="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w8MOL0AAADbAAAADwAAAAAAAAABACAAAAAiAAAAZHJzL2Rvd25yZXYueG1s&#10;UEsBAhQAFAAAAAgAh07iQDMvBZ47AAAAOQAAABUAAAAAAAAAAQAgAAAADAEAAGRycy9ncm91cHNo&#10;YXBleG1sLnhtbFBLBQYAAAAABgAGAGABAADJAwAAAAA=&#10;">
                                                                                            <o:lock v:ext="edit" aspectratio="f"/>
                                                                                            <v:group id="组合 72" o:spid="_x0000_s1026" o:spt="203" style="position:absolute;left:1668;top:2592;height:3756;width:1199;" coordorigin="1668,2592" coordsize="1199,3756" o:gfxdata="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pzpwq+AAAA2wAAAA8AAAAAAAAAAQAgAAAAIgAAAGRycy9kb3ducmV2Lnht&#10;bFBLAQIUABQAAAAIAIdO4kAzLwWeOwAAADkAAAAVAAAAAAAAAAEAIAAAAA0BAABkcnMvZ3JvdXBz&#10;aGFwZXhtbC54bWxQSwUGAAAAAAYABgBgAQAAygMAAAAA&#10;">
                                                                                              <o:lock v:ext="edit" aspectratio="f"/>
                                                                                              <v:shape id="文本框 73" o:spid="_x0000_s1026" o:spt="202" type="#_x0000_t202" style="position:absolute;left:1668;top:2592;height:645;width:1199;" filled="f" stroked="t" coordsize="21600,21600" o:gfxdata="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zFnSm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pPr>
                                                                                                        <w:ind w:firstLine="0" w:firstLineChars="0"/>
                                                                                                        <w:jc w:val="left"/>
                                                                                                        <w:rPr>
                                                                                                          <w:sz w:val="21"/>
                                                                                                        </w:rPr>
                                                                                                      </w:pPr>
                                                                                                      <w:r>
                                                                                                        <w:rPr>
                                                                                                          <w:rFonts w:hint="eastAsia"/>
                                                                                                          <w:sz w:val="21"/>
                                                                                                        </w:rPr>
                                                                                                        <w:t>风险识别</w:t>
                                                                                                      </w:r>
                                                                                                    </w:p>
                                                                                                  </w:txbxContent>
                                                                                                </v:textbox>
                                                                                              </v:shape>
                                                                                              <v:shape id="自选图形 74" o:spid="_x0000_s1026" o:spt="32" type="#_x0000_t32" style="position:absolute;left:2269;top:3237;height:1233;width:0;" filled="f" stroked="t" coordsize="21600,21600" o:gfxdata="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GEeR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文本框 75" o:spid="_x0000_s1026" o:spt="202" type="#_x0000_t202" style="position:absolute;left:1668;top:4470;height:645;width:1199;" filled="f" stroked="t" coordsize="21600,21600" o:gfxdata="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1umxb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ind w:firstLine="0" w:firstLineChars="0"/>
                                                                                                        <w:jc w:val="left"/>
                                                                                                        <w:rPr>
                                                                                                          <w:sz w:val="21"/>
                                                                                                        </w:rPr>
                                                                                                      </w:pPr>
                                                                                                      <w:r>
                                                                                                        <w:rPr>
                                                                                                          <w:rFonts w:hint="eastAsia"/>
                                                                                                          <w:sz w:val="21"/>
                                                                                                        </w:rPr>
                                                                                                        <w:t>源项分析</w:t>
                                                                                                      </w:r>
                                                                                                    </w:p>
                                                                                                  </w:txbxContent>
                                                                                                </v:textbox>
                                                                                              </v:shape>
                                                                                              <v:shape id="自选图形 76" o:spid="_x0000_s1026" o:spt="32" type="#_x0000_t32" style="position:absolute;left:2269;top:5115;height:1233;width:0;" filled="f" stroked="t" coordsize="21600,21600" o:gfxdata="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L16f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v:shape id="自选图形 77" o:spid="_x0000_s1026" o:spt="32" type="#_x0000_t32" style="position:absolute;left:2269;top:6993;height:1233;width:0;" filled="f" stroked="t" coordsize="21600,21600" o:gfxdata="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NBk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文本框 78" o:spid="_x0000_s1026" o:spt="202" type="#_x0000_t202" style="position:absolute;left:1668;top:8226;height:645;width:1199;" filled="f" stroked="t" coordsize="21600,21600" o:gfxdata="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GCgxr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ind w:firstLine="0" w:firstLineChars="0"/>
                                                                                                      <w:jc w:val="left"/>
                                                                                                      <w:rPr>
                                                                                                        <w:sz w:val="21"/>
                                                                                                      </w:rPr>
                                                                                                    </w:pPr>
                                                                                                    <w:r>
                                                                                                      <w:rPr>
                                                                                                        <w:rFonts w:hint="eastAsia"/>
                                                                                                        <w:sz w:val="21"/>
                                                                                                      </w:rPr>
                                                                                                      <w:t>风险评价</w:t>
                                                                                                    </w:r>
                                                                                                  </w:p>
                                                                                                </w:txbxContent>
                                                                                              </v:textbox>
                                                                                            </v:shape>
                                                                                            <v:shape id="自选图形 79" o:spid="_x0000_s1026" o:spt="32" type="#_x0000_t32" style="position:absolute;left:2255;top:8871;height:449;width:0;" filled="f" stroked="t" coordsize="21600,21600" o:gfxdata="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wcHu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自选图形 80" o:spid="_x0000_s1026" o:spt="4" type="#_x0000_t4" style="position:absolute;left:1285;top:9320;height:1164;width:1913;" filled="f" stroked="t" coordsize="21600,21600" o:gfxdata="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f13U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shape>
                                                                                            <v:shape id="自选图形 81" o:spid="_x0000_s1026" o:spt="32" type="#_x0000_t32" style="position:absolute;left:2242;top:10484;height:990;width:0;" filled="f" stroked="t" coordsize="21600,21600" o:gfxdata="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X+qg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v:shape id="文本框 82" o:spid="_x0000_s1026" o:spt="202" type="#_x0000_t202" style="position:absolute;left:1602;top:11474;height:645;width:1199;" filled="f" stroked="t" coordsize="21600,21600" o:gfxdata="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HAv0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ind w:firstLine="0" w:firstLineChars="0"/>
                                                                                                      <w:jc w:val="left"/>
                                                                                                      <w:rPr>
                                                                                                        <w:sz w:val="21"/>
                                                                                                      </w:rPr>
                                                                                                    </w:pPr>
                                                                                                    <w:r>
                                                                                                      <w:rPr>
                                                                                                        <w:rFonts w:hint="eastAsia"/>
                                                                                                        <w:sz w:val="21"/>
                                                                                                      </w:rPr>
                                                                                                      <w:t>风险管理</w:t>
                                                                                                    </w:r>
                                                                                                  </w:p>
                                                                                                </w:txbxContent>
                                                                                              </v:textbox>
                                                                                            </v:shape>
                                                                                            <v:shape id="自选图形 83" o:spid="_x0000_s1026" o:spt="32" type="#_x0000_t32" style="position:absolute;left:1141;top:4863;height:0;width:527;" filled="f" stroked="t" coordsize="21600,21600" o:gfxdata="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cHRT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v:shape id="自选图形 84" o:spid="_x0000_s1026" o:spt="32" type="#_x0000_t32" style="position:absolute;left:2752;top:10202;height:0;width:446;" filled="f" stroked="t" coordsize="21600,21600" o:gfxdata="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g0z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自选图形 85" o:spid="_x0000_s1026" o:spt="32" type="#_x0000_t32" style="position:absolute;left:3198;top:10202;height:3220;width:0;" filled="f" stroked="t" coordsize="21600,21600" o:gfxdata="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HsdqK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自选图形 86" o:spid="_x0000_s1026" o:spt="32" type="#_x0000_t32" style="position:absolute;left:2801;top:13422;flip:x;height:0;width:397;" filled="f" stroked="t" coordsize="21600,21600" o:gfxdata="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i4Lh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v:group id="组合 87" o:spid="_x0000_s1026" o:spt="203" style="position:absolute;left:2173;top:10724;height:2385;width:628;" coordorigin="2173,10724" coordsize="628,2385" o:gfxdata="UEsDBAoAAAAAAIdO4kAAAAAAAAAAAAAAAAAEAAAAZHJzL1BLAwQUAAAACACHTuJAjZqd0b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Nmp3RvwAAANwAAAAPAAAAAAAAAAEAIAAAACIAAABkcnMvZG93bnJldi54&#10;bWxQSwECFAAUAAAACACHTuJAMy8FnjsAAAA5AAAAFQAAAAAAAAABACAAAAAOAQAAZHJzL2dyb3Vw&#10;c2hhcGV4bWwueG1sUEsFBgAAAAAGAAYAYAEAAMsDAAAAAA==&#10;">
                                                                                          <o:lock v:ext="edit" aspectratio="f"/>
                                                                                          <v:shape id="自选图形 88" o:spid="_x0000_s1026" o:spt="32" type="#_x0000_t32" style="position:absolute;left:2200;top:12119;height:990;width:0;" filled="f" stroked="t" coordsize="21600,21600" o:gfxdata="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Keam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v:shape id="文本框 89" o:spid="_x0000_s1026" o:spt="202" type="#_x0000_t202" style="position:absolute;left:2173;top:10724;height:507;width:628;" filled="f" stroked="f" coordsize="21600,21600" o:gfxdata="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iwx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240" w:lineRule="auto"/>
                                                                                                    <w:ind w:firstLine="0" w:firstLineChars="0"/>
                                                                                                    <w:jc w:val="left"/>
                                                                                                    <w:rPr>
                                                                                                      <w:sz w:val="18"/>
                                                                                                    </w:rPr>
                                                                                                  </w:pPr>
                                                                                                  <w:r>
                                                                                                    <w:rPr>
                                                                                                      <w:rFonts w:hint="eastAsia"/>
                                                                                                      <w:sz w:val="18"/>
                                                                                                    </w:rPr>
                                                                                                    <w:t>否</w:t>
                                                                                                  </w:r>
                                                                                                </w:p>
                                                                                              </w:txbxContent>
                                                                                            </v:textbox>
                                                                                          </v:shape>
                                                                                        </v:group>
                                                                                      </v:group>
                                                                                    </v:group>
                                                                                  </v:group>
                                                                                </v:group>
                                                                              </v:group>
                                                                            </v:group>
                                                                          </v:group>
                                                                          <v:shape id="文本框 90" o:spid="_x0000_s1026" o:spt="202" type="#_x0000_t202" style="position:absolute;left:3430;top:4410;height:772;width:1650;" filled="f" stroked="f" coordsize="21600,21600" o:gfxdata="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eBRr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240" w:lineRule="auto"/>
                                                                                    <w:ind w:firstLine="0" w:firstLineChars="0"/>
                                                                                    <w:jc w:val="left"/>
                                                                                    <w:rPr>
                                                                                      <w:sz w:val="18"/>
                                                                                    </w:rPr>
                                                                                  </w:pPr>
                                                                                  <w:r>
                                                                                    <w:rPr>
                                                                                      <w:rFonts w:hint="eastAsia"/>
                                                                                      <w:sz w:val="18"/>
                                                                                    </w:rPr>
                                                                                    <w:t>已识别得危险因素和风险类型</w:t>
                                                                                  </w:r>
                                                                                </w:p>
                                                                              </w:txbxContent>
                                                                            </v:textbox>
                                                                          </v:shape>
                                                                        </v:group>
                                                                        <v:shape id="文本框 91" o:spid="_x0000_s1026" o:spt="202" type="#_x0000_t202" style="position:absolute;left:6126;top:3278;height:495;width:659;" filled="f" stroked="f" coordsize="21600,21600" o:gfxdata="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9eOs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240" w:lineRule="auto"/>
                                                                                  <w:ind w:firstLine="0" w:firstLineChars="0"/>
                                                                                  <w:jc w:val="left"/>
                                                                                  <w:rPr>
                                                                                    <w:sz w:val="18"/>
                                                                                  </w:rPr>
                                                                                </w:pPr>
                                                                                <w:r>
                                                                                  <w:rPr>
                                                                                    <w:rFonts w:hint="eastAsia"/>
                                                                                    <w:sz w:val="18"/>
                                                                                  </w:rPr>
                                                                                  <w:t>定性</w:t>
                                                                                </w:r>
                                                                              </w:p>
                                                                            </w:txbxContent>
                                                                          </v:textbox>
                                                                        </v:shape>
                                                                        <v:shape id="自选图形 92" o:spid="_x0000_s1026" o:spt="32" type="#_x0000_t32" style="position:absolute;left:6693;top:3237;flip:y;height:279;width:530;" filled="f" stroked="t" coordsize="21600,21600" o:gfxdata="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5ZK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自选图形 93" o:spid="_x0000_s1026" o:spt="32" type="#_x0000_t32" style="position:absolute;left:6693;top:3516;height:257;width:530;" filled="f" stroked="t" coordsize="21600,21600" o:gfxdata="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gScz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自选图形 94" o:spid="_x0000_s1026" o:spt="32" type="#_x0000_t32" style="position:absolute;left:6693;top:4863;flip:y;height:319;width:530;" filled="f" stroked="t" coordsize="21600,21600" o:gfxdata="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YGLF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自选图形 95" o:spid="_x0000_s1026" o:spt="32" type="#_x0000_t32" style="position:absolute;left:6693;top:5182;height:371;width:530;" filled="f" stroked="t" coordsize="21600,21600" o:gfxdata="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hoSO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v:group>
                                                                  </v:group>
                                                                </v:group>
                                                              </v:group>
                                                            </v:group>
                                                          </v:group>
                                                        </v:group>
                                                      </v:group>
                                                    </v:group>
                                                  </v:group>
                                                </v:group>
                                                <v:shape id="文本框 96" o:spid="_x0000_s1026" o:spt="202" type="#_x0000_t202" style="position:absolute;left:3363;top:6417;height:772;width:1650;" filled="f" stroked="f" coordsize="21600,21600" o:gfxdata="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5S3Hm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spacing w:line="240" w:lineRule="auto"/>
                                                          <w:ind w:firstLine="0" w:firstLineChars="0"/>
                                                          <w:jc w:val="left"/>
                                                          <w:rPr>
                                                            <w:sz w:val="18"/>
                                                          </w:rPr>
                                                        </w:pPr>
                                                        <w:r>
                                                          <w:rPr>
                                                            <w:rFonts w:hint="eastAsia"/>
                                                            <w:sz w:val="18"/>
                                                          </w:rPr>
                                                          <w:t>最大可信事故</w:t>
                                                        </w:r>
                                                      </w:p>
                                                    </w:txbxContent>
                                                  </v:textbox>
                                                </v:shape>
                                              </v:group>
                                              <v:shape id="文本框 97" o:spid="_x0000_s1026" o:spt="202" type="#_x0000_t202" style="position:absolute;left:6135;top:6221;height:968;width:1650;" filled="f" stroked="f" coordsize="21600,21600" o:gfxdata="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CB7ZC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spacing w:line="240" w:lineRule="auto"/>
                                                        <w:ind w:firstLine="0" w:firstLineChars="0"/>
                                                        <w:jc w:val="left"/>
                                                        <w:rPr>
                                                          <w:sz w:val="18"/>
                                                        </w:rPr>
                                                      </w:pPr>
                                                      <w:r>
                                                        <w:rPr>
                                                          <w:rFonts w:hint="eastAsia"/>
                                                          <w:sz w:val="18"/>
                                                        </w:rPr>
                                                        <w:t>大气扩散计算</w:t>
                                                      </w:r>
                                                    </w:p>
                                                    <w:p>
                                                      <w:pPr>
                                                        <w:spacing w:line="240" w:lineRule="auto"/>
                                                        <w:ind w:firstLine="0" w:firstLineChars="0"/>
                                                        <w:jc w:val="left"/>
                                                        <w:rPr>
                                                          <w:sz w:val="18"/>
                                                        </w:rPr>
                                                      </w:pPr>
                                                      <w:r>
                                                        <w:rPr>
                                                          <w:rFonts w:hint="eastAsia"/>
                                                          <w:sz w:val="18"/>
                                                        </w:rPr>
                                                        <w:t>水体扩散计算</w:t>
                                                      </w:r>
                                                    </w:p>
                                                    <w:p>
                                                      <w:pPr>
                                                        <w:spacing w:line="240" w:lineRule="auto"/>
                                                        <w:ind w:firstLine="0" w:firstLineChars="0"/>
                                                        <w:jc w:val="left"/>
                                                        <w:rPr>
                                                          <w:sz w:val="18"/>
                                                        </w:rPr>
                                                      </w:pPr>
                                                      <w:r>
                                                        <w:rPr>
                                                          <w:rFonts w:hint="eastAsia"/>
                                                          <w:sz w:val="18"/>
                                                        </w:rPr>
                                                        <w:t>综合损害计算</w:t>
                                                      </w:r>
                                                    </w:p>
                                                  </w:txbxContent>
                                                </v:textbox>
                                              </v:shape>
                                            </v:group>
                                            <v:shape id="文本框 98" o:spid="_x0000_s1026" o:spt="202" type="#_x0000_t202" style="position:absolute;left:8854;top:6290;height:772;width:1650;" filled="f" stroked="f" coordsize="21600,21600" o:gfxdata="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y53S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spacing w:line="240" w:lineRule="auto"/>
                                                      <w:ind w:firstLine="0" w:firstLineChars="0"/>
                                                      <w:jc w:val="left"/>
                                                      <w:rPr>
                                                        <w:sz w:val="18"/>
                                                      </w:rPr>
                                                    </w:pPr>
                                                    <w:r>
                                                      <w:rPr>
                                                        <w:rFonts w:hint="eastAsia"/>
                                                        <w:sz w:val="18"/>
                                                      </w:rPr>
                                                      <w:t>确定危害程度</w:t>
                                                    </w:r>
                                                  </w:p>
                                                  <w:p>
                                                    <w:pPr>
                                                      <w:spacing w:line="240" w:lineRule="auto"/>
                                                      <w:ind w:firstLine="0" w:firstLineChars="0"/>
                                                      <w:jc w:val="left"/>
                                                      <w:rPr>
                                                        <w:sz w:val="18"/>
                                                      </w:rPr>
                                                    </w:pPr>
                                                    <w:r>
                                                      <w:rPr>
                                                        <w:rFonts w:hint="eastAsia"/>
                                                        <w:sz w:val="18"/>
                                                      </w:rPr>
                                                      <w:t>危害范围</w:t>
                                                    </w:r>
                                                  </w:p>
                                                </w:txbxContent>
                                              </v:textbox>
                                            </v:shape>
                                          </v:group>
                                        </v:group>
                                      </v:group>
                                    </v:group>
                                    <v:shape id="文本框 99" o:spid="_x0000_s1026" o:spt="202" type="#_x0000_t202" style="position:absolute;left:6135;top:8306;height:772;width:1650;" filled="f" stroked="f" coordsize="21600,21600" o:gfxdata="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TH7z+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spacing w:line="240" w:lineRule="auto"/>
                                              <w:ind w:firstLine="0" w:firstLineChars="0"/>
                                              <w:jc w:val="left"/>
                                              <w:rPr>
                                                <w:sz w:val="18"/>
                                              </w:rPr>
                                            </w:pPr>
                                            <w:r>
                                              <w:rPr>
                                                <w:rFonts w:hint="eastAsia"/>
                                                <w:sz w:val="18"/>
                                              </w:rPr>
                                              <w:t>外推法</w:t>
                                            </w:r>
                                          </w:p>
                                          <w:p>
                                            <w:pPr>
                                              <w:spacing w:line="240" w:lineRule="auto"/>
                                              <w:ind w:firstLine="0" w:firstLineChars="0"/>
                                              <w:jc w:val="left"/>
                                              <w:rPr>
                                                <w:sz w:val="18"/>
                                              </w:rPr>
                                            </w:pPr>
                                            <w:r>
                                              <w:rPr>
                                                <w:rFonts w:hint="eastAsia"/>
                                                <w:sz w:val="18"/>
                                              </w:rPr>
                                              <w:t>等级评价法</w:t>
                                            </w:r>
                                          </w:p>
                                        </w:txbxContent>
                                      </v:textbox>
                                    </v:shape>
                                  </v:group>
                                  <v:shape id="文本框 100" o:spid="_x0000_s1026" o:spt="202" type="#_x0000_t202" style="position:absolute;left:8854;top:8298;height:772;width:1650;" filled="f" stroked="f" coordsize="21600,21600" o:gfxdata="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Te1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240" w:lineRule="auto"/>
                                            <w:ind w:firstLine="0" w:firstLineChars="0"/>
                                            <w:jc w:val="left"/>
                                            <w:rPr>
                                              <w:sz w:val="18"/>
                                            </w:rPr>
                                          </w:pPr>
                                          <w:r>
                                            <w:rPr>
                                              <w:rFonts w:hint="eastAsia"/>
                                              <w:sz w:val="18"/>
                                            </w:rPr>
                                            <w:t>确定风险值和可接受水平</w:t>
                                          </w:r>
                                        </w:p>
                                      </w:txbxContent>
                                    </v:textbox>
                                  </v:shape>
                                </v:group>
                              </v:group>
                            </v:group>
                            <v:shape id="文本框 101" o:spid="_x0000_s1026" o:spt="202" type="#_x0000_t202" style="position:absolute;left:6135;top:10440;height:772;width:1650;" filled="f" stroked="f" coordsize="21600,21600" o:gfxdata="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aQb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spacing w:line="240" w:lineRule="auto"/>
                                      <w:ind w:firstLine="0" w:firstLineChars="0"/>
                                      <w:jc w:val="left"/>
                                      <w:rPr>
                                        <w:sz w:val="18"/>
                                      </w:rPr>
                                    </w:pPr>
                                    <w:r>
                                      <w:rPr>
                                        <w:rFonts w:hint="eastAsia"/>
                                        <w:sz w:val="18"/>
                                      </w:rPr>
                                      <w:t>代价利益分析</w:t>
                                    </w:r>
                                  </w:p>
                                </w:txbxContent>
                              </v:textbox>
                            </v:shape>
                          </v:group>
                          <v:shape id="文本框 102" o:spid="_x0000_s1026" o:spt="202" type="#_x0000_t202" style="position:absolute;left:8854;top:10431;height:772;width:1764;" filled="f" stroked="f" coordsize="21600,21600" o:gfxdata="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1+nr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spacing w:line="240" w:lineRule="auto"/>
                                    <w:ind w:firstLine="0" w:firstLineChars="0"/>
                                    <w:jc w:val="left"/>
                                    <w:rPr>
                                      <w:sz w:val="18"/>
                                    </w:rPr>
                                  </w:pPr>
                                  <w:r>
                                    <w:rPr>
                                      <w:rFonts w:hint="eastAsia"/>
                                      <w:sz w:val="18"/>
                                    </w:rPr>
                                    <w:t>确定减少风险措施</w:t>
                                  </w:r>
                                </w:p>
                              </w:txbxContent>
                            </v:textbox>
                          </v:shape>
                        </v:group>
                      </v:group>
                    </v:group>
                    <v:shape id="文本框 103" o:spid="_x0000_s1026" o:spt="202" type="#_x0000_t202" style="position:absolute;left:6135;top:12941;height:772;width:1650;" filled="f" stroked="f" coordsize="21600,21600" o:gfxdata="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Eq2r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240" w:lineRule="auto"/>
                              <w:ind w:firstLine="0" w:firstLineChars="0"/>
                              <w:jc w:val="left"/>
                              <w:rPr>
                                <w:sz w:val="18"/>
                              </w:rPr>
                            </w:pPr>
                            <w:r>
                              <w:rPr>
                                <w:rFonts w:hint="eastAsia"/>
                                <w:sz w:val="18"/>
                              </w:rPr>
                              <w:t>类比法</w:t>
                            </w:r>
                          </w:p>
                          <w:p>
                            <w:pPr>
                              <w:spacing w:line="240" w:lineRule="auto"/>
                              <w:ind w:firstLine="0" w:firstLineChars="0"/>
                              <w:jc w:val="left"/>
                              <w:rPr>
                                <w:sz w:val="18"/>
                              </w:rPr>
                            </w:pPr>
                            <w:r>
                              <w:rPr>
                                <w:rFonts w:hint="eastAsia"/>
                                <w:sz w:val="18"/>
                              </w:rPr>
                              <w:t>模拟</w:t>
                            </w:r>
                          </w:p>
                        </w:txbxContent>
                      </v:textbox>
                    </v:shape>
                  </v:group>
                  <v:shape id="文本框 104" o:spid="_x0000_s1026" o:spt="202" type="#_x0000_t202" style="position:absolute;left:8869;top:12929;height:772;width:1650;" filled="f" stroked="f" coordsize="21600,21600" o:gfxdata="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vTdw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240" w:lineRule="auto"/>
                            <w:ind w:firstLine="0" w:firstLineChars="0"/>
                            <w:jc w:val="left"/>
                            <w:rPr>
                              <w:sz w:val="18"/>
                            </w:rPr>
                          </w:pPr>
                          <w:r>
                            <w:rPr>
                              <w:rFonts w:hint="eastAsia"/>
                              <w:sz w:val="18"/>
                            </w:rPr>
                            <w:t>事故损失</w:t>
                          </w:r>
                        </w:p>
                        <w:p>
                          <w:pPr>
                            <w:spacing w:line="240" w:lineRule="auto"/>
                            <w:ind w:firstLine="0" w:firstLineChars="0"/>
                            <w:jc w:val="left"/>
                            <w:rPr>
                              <w:sz w:val="18"/>
                            </w:rPr>
                          </w:pPr>
                          <w:r>
                            <w:rPr>
                              <w:rFonts w:hint="eastAsia"/>
                              <w:sz w:val="18"/>
                            </w:rPr>
                            <w:t>减至最少</w:t>
                          </w:r>
                        </w:p>
                      </w:txbxContent>
                    </v:textbox>
                  </v:shape>
                </v:group>
              </v:group>
            </w:pict>
          </mc:Fallback>
        </mc:AlternateContent>
      </w:r>
    </w:p>
    <w:p>
      <w:pPr>
        <w:widowControl/>
        <w:spacing w:line="440" w:lineRule="exact"/>
        <w:ind w:firstLine="482"/>
        <w:jc w:val="center"/>
        <w:rPr>
          <w:rFonts w:ascii="Times New Roman" w:hAnsi="Times New Roman" w:cs="Times New Roman"/>
          <w:b/>
          <w:bCs/>
        </w:rPr>
      </w:pPr>
    </w:p>
    <w:p>
      <w:pPr>
        <w:widowControl/>
        <w:spacing w:line="440" w:lineRule="exact"/>
        <w:ind w:firstLine="482"/>
        <w:jc w:val="center"/>
        <w:rPr>
          <w:rFonts w:ascii="Times New Roman" w:hAnsi="Times New Roman" w:cs="Times New Roman"/>
          <w:b/>
          <w:bCs/>
        </w:rPr>
      </w:pPr>
    </w:p>
    <w:p>
      <w:pPr>
        <w:widowControl/>
        <w:spacing w:line="440" w:lineRule="exact"/>
        <w:ind w:firstLine="482"/>
        <w:jc w:val="center"/>
        <w:rPr>
          <w:rFonts w:ascii="Times New Roman" w:hAnsi="Times New Roman" w:cs="Times New Roman"/>
          <w:b/>
          <w:bCs/>
        </w:rPr>
      </w:pPr>
    </w:p>
    <w:p>
      <w:pPr>
        <w:widowControl/>
        <w:spacing w:line="440" w:lineRule="exact"/>
        <w:ind w:firstLine="482"/>
        <w:jc w:val="center"/>
        <w:rPr>
          <w:rFonts w:ascii="Times New Roman" w:hAnsi="Times New Roman" w:cs="Times New Roman"/>
          <w:b/>
          <w:bCs/>
        </w:rPr>
      </w:pPr>
    </w:p>
    <w:p>
      <w:pPr>
        <w:widowControl/>
        <w:spacing w:line="440" w:lineRule="exact"/>
        <w:ind w:firstLine="482"/>
        <w:jc w:val="center"/>
        <w:rPr>
          <w:rFonts w:ascii="Times New Roman" w:hAnsi="Times New Roman" w:cs="Times New Roman"/>
          <w:b/>
          <w:bCs/>
        </w:rPr>
      </w:pPr>
    </w:p>
    <w:p>
      <w:pPr>
        <w:widowControl/>
        <w:spacing w:line="440" w:lineRule="exact"/>
        <w:ind w:firstLine="482"/>
        <w:jc w:val="center"/>
        <w:rPr>
          <w:rFonts w:ascii="Times New Roman" w:hAnsi="Times New Roman" w:cs="Times New Roman"/>
          <w:b/>
          <w:bCs/>
        </w:rPr>
      </w:pPr>
    </w:p>
    <w:p>
      <w:pPr>
        <w:widowControl/>
        <w:spacing w:line="440" w:lineRule="exact"/>
        <w:ind w:firstLine="482"/>
        <w:jc w:val="center"/>
        <w:rPr>
          <w:rFonts w:ascii="Times New Roman" w:hAnsi="Times New Roman" w:cs="Times New Roman"/>
          <w:b/>
          <w:bCs/>
        </w:rPr>
      </w:pPr>
    </w:p>
    <w:p>
      <w:pPr>
        <w:widowControl/>
        <w:spacing w:line="440" w:lineRule="exact"/>
        <w:ind w:firstLine="482"/>
        <w:jc w:val="center"/>
        <w:rPr>
          <w:rFonts w:ascii="Times New Roman" w:hAnsi="Times New Roman" w:cs="Times New Roman"/>
          <w:b/>
          <w:bCs/>
        </w:rPr>
      </w:pPr>
    </w:p>
    <w:p>
      <w:pPr>
        <w:widowControl/>
        <w:spacing w:line="440" w:lineRule="exact"/>
        <w:ind w:firstLine="482"/>
        <w:jc w:val="center"/>
        <w:rPr>
          <w:rFonts w:ascii="Times New Roman" w:hAnsi="Times New Roman" w:cs="Times New Roman"/>
          <w:b/>
          <w:bCs/>
        </w:rPr>
      </w:pPr>
    </w:p>
    <w:p>
      <w:pPr>
        <w:widowControl/>
        <w:spacing w:line="440" w:lineRule="exact"/>
        <w:ind w:firstLine="482"/>
        <w:jc w:val="center"/>
        <w:rPr>
          <w:rFonts w:ascii="Times New Roman" w:hAnsi="Times New Roman" w:cs="Times New Roman"/>
          <w:b/>
          <w:bCs/>
        </w:rPr>
      </w:pPr>
    </w:p>
    <w:p>
      <w:pPr>
        <w:widowControl/>
        <w:spacing w:line="440" w:lineRule="exact"/>
        <w:ind w:firstLine="482"/>
        <w:jc w:val="center"/>
        <w:rPr>
          <w:rFonts w:ascii="Times New Roman" w:hAnsi="Times New Roman" w:cs="Times New Roman"/>
          <w:b/>
          <w:bCs/>
        </w:rPr>
      </w:pPr>
    </w:p>
    <w:p>
      <w:pPr>
        <w:widowControl/>
        <w:spacing w:line="440" w:lineRule="exact"/>
        <w:ind w:firstLine="482"/>
        <w:jc w:val="center"/>
        <w:rPr>
          <w:rFonts w:ascii="Times New Roman" w:hAnsi="Times New Roman" w:cs="Times New Roman"/>
          <w:b/>
          <w:bCs/>
        </w:rPr>
      </w:pPr>
    </w:p>
    <w:p>
      <w:pPr>
        <w:widowControl/>
        <w:spacing w:line="440" w:lineRule="exact"/>
        <w:ind w:firstLine="482"/>
        <w:jc w:val="center"/>
        <w:rPr>
          <w:rFonts w:ascii="Times New Roman" w:hAnsi="Times New Roman" w:cs="Times New Roman"/>
          <w:b/>
          <w:bCs/>
        </w:rPr>
      </w:pPr>
    </w:p>
    <w:p>
      <w:pPr>
        <w:widowControl/>
        <w:spacing w:line="440" w:lineRule="exact"/>
        <w:ind w:firstLine="482"/>
        <w:jc w:val="center"/>
        <w:rPr>
          <w:rFonts w:ascii="Times New Roman" w:hAnsi="Times New Roman" w:cs="Times New Roman"/>
          <w:b/>
          <w:bCs/>
        </w:rPr>
      </w:pPr>
    </w:p>
    <w:p>
      <w:pPr>
        <w:widowControl/>
        <w:spacing w:line="440" w:lineRule="exact"/>
        <w:ind w:firstLine="482"/>
        <w:jc w:val="center"/>
        <w:rPr>
          <w:rFonts w:ascii="Times New Roman" w:hAnsi="Times New Roman" w:cs="Times New Roman"/>
          <w:b/>
          <w:bCs/>
        </w:rPr>
      </w:pPr>
    </w:p>
    <w:p>
      <w:pPr>
        <w:widowControl/>
        <w:spacing w:line="440" w:lineRule="exact"/>
        <w:ind w:firstLine="482"/>
        <w:jc w:val="center"/>
        <w:rPr>
          <w:rFonts w:ascii="Times New Roman" w:hAnsi="Times New Roman" w:cs="Times New Roman"/>
          <w:b/>
          <w:bCs/>
        </w:rPr>
      </w:pPr>
    </w:p>
    <w:p>
      <w:pPr>
        <w:widowControl/>
        <w:spacing w:line="440" w:lineRule="exact"/>
        <w:ind w:firstLine="482"/>
        <w:jc w:val="center"/>
        <w:rPr>
          <w:rFonts w:ascii="Times New Roman" w:hAnsi="Times New Roman" w:cs="Times New Roman"/>
          <w:b/>
          <w:bCs/>
        </w:rPr>
      </w:pPr>
    </w:p>
    <w:p>
      <w:pPr>
        <w:widowControl/>
        <w:spacing w:line="440" w:lineRule="exact"/>
        <w:ind w:firstLine="482"/>
        <w:jc w:val="center"/>
        <w:rPr>
          <w:rFonts w:ascii="Times New Roman" w:hAnsi="Times New Roman" w:cs="Times New Roman"/>
          <w:b/>
          <w:bCs/>
        </w:rPr>
      </w:pPr>
    </w:p>
    <w:p>
      <w:pPr>
        <w:widowControl/>
        <w:spacing w:line="440" w:lineRule="exact"/>
        <w:ind w:firstLine="482"/>
        <w:jc w:val="center"/>
        <w:rPr>
          <w:rFonts w:ascii="Times New Roman" w:hAnsi="Times New Roman" w:cs="Times New Roman"/>
          <w:b/>
          <w:bCs/>
        </w:rPr>
      </w:pPr>
    </w:p>
    <w:p>
      <w:pPr>
        <w:widowControl/>
        <w:spacing w:line="440" w:lineRule="exact"/>
        <w:ind w:firstLine="482"/>
        <w:jc w:val="center"/>
        <w:rPr>
          <w:rFonts w:ascii="Times New Roman" w:hAnsi="Times New Roman" w:cs="Times New Roman"/>
          <w:b/>
          <w:bCs/>
        </w:rPr>
      </w:pPr>
    </w:p>
    <w:p>
      <w:pPr>
        <w:widowControl/>
        <w:spacing w:line="440" w:lineRule="exact"/>
        <w:ind w:firstLine="482"/>
        <w:jc w:val="center"/>
        <w:rPr>
          <w:rFonts w:ascii="Times New Roman" w:hAnsi="Times New Roman" w:cs="Times New Roman"/>
          <w:b/>
          <w:bCs/>
        </w:rPr>
      </w:pPr>
    </w:p>
    <w:p>
      <w:pPr>
        <w:widowControl/>
        <w:spacing w:line="440" w:lineRule="exact"/>
        <w:ind w:firstLine="482"/>
        <w:jc w:val="center"/>
        <w:rPr>
          <w:rFonts w:ascii="Times New Roman" w:hAnsi="Times New Roman" w:cs="Times New Roman"/>
          <w:b/>
          <w:bCs/>
        </w:rPr>
      </w:pPr>
    </w:p>
    <w:p>
      <w:pPr>
        <w:widowControl/>
        <w:spacing w:line="440" w:lineRule="exact"/>
        <w:ind w:firstLine="482"/>
        <w:jc w:val="center"/>
        <w:rPr>
          <w:rFonts w:ascii="Times New Roman" w:hAnsi="Times New Roman" w:cs="Times New Roman"/>
          <w:b/>
          <w:bCs/>
        </w:rPr>
      </w:pPr>
    </w:p>
    <w:p>
      <w:pPr>
        <w:widowControl/>
        <w:spacing w:line="440" w:lineRule="exact"/>
        <w:ind w:firstLine="482"/>
        <w:jc w:val="center"/>
        <w:rPr>
          <w:rFonts w:ascii="Times New Roman" w:hAnsi="Times New Roman" w:cs="Times New Roman"/>
          <w:b/>
          <w:bCs/>
        </w:rPr>
      </w:pPr>
    </w:p>
    <w:p>
      <w:pPr>
        <w:widowControl/>
        <w:spacing w:line="440" w:lineRule="exact"/>
        <w:ind w:firstLine="482"/>
        <w:jc w:val="center"/>
        <w:rPr>
          <w:rFonts w:ascii="Times New Roman" w:hAnsi="Times New Roman" w:cs="Times New Roman"/>
          <w:b/>
          <w:bCs/>
        </w:rPr>
      </w:pPr>
    </w:p>
    <w:p>
      <w:pPr>
        <w:widowControl/>
        <w:spacing w:line="440" w:lineRule="exact"/>
        <w:ind w:firstLine="482"/>
        <w:jc w:val="center"/>
        <w:rPr>
          <w:rFonts w:ascii="Times New Roman" w:hAnsi="Times New Roman" w:cs="Times New Roman"/>
          <w:b/>
          <w:bCs/>
        </w:rPr>
      </w:pPr>
    </w:p>
    <w:p>
      <w:pPr>
        <w:widowControl/>
        <w:spacing w:line="440" w:lineRule="exact"/>
        <w:ind w:firstLine="482"/>
        <w:jc w:val="center"/>
        <w:rPr>
          <w:rFonts w:ascii="Times New Roman" w:hAnsi="Times New Roman" w:cs="Times New Roman"/>
          <w:b/>
          <w:bCs/>
        </w:rPr>
      </w:pPr>
    </w:p>
    <w:p>
      <w:pPr>
        <w:snapToGrid w:val="0"/>
        <w:spacing w:line="560" w:lineRule="exact"/>
        <w:ind w:firstLine="480" w:firstLineChars="0"/>
        <w:jc w:val="center"/>
        <w:rPr>
          <w:rFonts w:ascii="Times New Roman" w:hAnsi="Times New Roman" w:eastAsia="黑体" w:cs="Times New Roman"/>
          <w:snapToGrid w:val="0"/>
          <w:kern w:val="0"/>
          <w:szCs w:val="24"/>
        </w:rPr>
      </w:pPr>
      <w:r>
        <w:rPr>
          <w:rFonts w:ascii="Times New Roman" w:hAnsi="Times New Roman" w:eastAsia="黑体" w:cs="Times New Roman"/>
          <w:snapToGrid w:val="0"/>
          <w:kern w:val="0"/>
          <w:szCs w:val="24"/>
        </w:rPr>
        <w:t>图1.1-1  环境风险评价技术路线图</w:t>
      </w:r>
    </w:p>
    <w:p>
      <w:pPr>
        <w:ind w:firstLine="480"/>
        <w:jc w:val="center"/>
        <w:rPr>
          <w:rFonts w:ascii="Times New Roman" w:hAnsi="Times New Roman" w:eastAsia="黑体" w:cs="Times New Roman"/>
          <w:szCs w:val="24"/>
        </w:rPr>
      </w:pPr>
    </w:p>
    <w:p>
      <w:pPr>
        <w:spacing w:line="440" w:lineRule="exact"/>
        <w:ind w:firstLine="480"/>
        <w:rPr>
          <w:rFonts w:ascii="Times New Roman" w:hAnsi="Times New Roman" w:cs="Times New Roman"/>
          <w:szCs w:val="24"/>
        </w:rPr>
      </w:pPr>
    </w:p>
    <w:p>
      <w:pPr>
        <w:spacing w:line="440" w:lineRule="exact"/>
        <w:ind w:firstLine="480"/>
        <w:rPr>
          <w:rFonts w:ascii="Times New Roman" w:hAnsi="Times New Roman" w:cs="Times New Roman"/>
          <w:szCs w:val="24"/>
        </w:rPr>
      </w:pPr>
    </w:p>
    <w:p>
      <w:pPr>
        <w:numPr>
          <w:ilvl w:val="1"/>
          <w:numId w:val="1"/>
        </w:numPr>
        <w:autoSpaceDE w:val="0"/>
        <w:autoSpaceDN w:val="0"/>
        <w:adjustRightInd w:val="0"/>
        <w:snapToGrid w:val="0"/>
        <w:spacing w:line="600" w:lineRule="exact"/>
        <w:ind w:left="1072" w:hanging="1072" w:firstLineChars="0"/>
        <w:jc w:val="left"/>
        <w:textAlignment w:val="baseline"/>
        <w:outlineLvl w:val="1"/>
        <w:rPr>
          <w:rFonts w:ascii="Times New Roman" w:hAnsi="Times New Roman" w:eastAsia="黑体" w:cs="Times New Roman"/>
          <w:b/>
          <w:bCs/>
          <w:sz w:val="30"/>
          <w:szCs w:val="32"/>
        </w:rPr>
      </w:pPr>
      <w:bookmarkStart w:id="4" w:name="_Toc422308952"/>
      <w:r>
        <w:rPr>
          <w:rFonts w:ascii="Times New Roman" w:hAnsi="Times New Roman" w:eastAsia="黑体" w:cs="Times New Roman"/>
          <w:b/>
          <w:bCs/>
          <w:sz w:val="30"/>
          <w:szCs w:val="32"/>
        </w:rPr>
        <w:t>风险类型及识别</w:t>
      </w:r>
      <w:bookmarkEnd w:id="4"/>
    </w:p>
    <w:p>
      <w:pPr>
        <w:numPr>
          <w:ilvl w:val="2"/>
          <w:numId w:val="1"/>
        </w:numPr>
        <w:autoSpaceDE w:val="0"/>
        <w:autoSpaceDN w:val="0"/>
        <w:adjustRightInd w:val="0"/>
        <w:snapToGrid w:val="0"/>
        <w:spacing w:line="600" w:lineRule="exact"/>
        <w:ind w:left="0" w:firstLine="0" w:firstLineChars="0"/>
        <w:jc w:val="left"/>
        <w:textAlignment w:val="baseline"/>
        <w:outlineLvl w:val="2"/>
        <w:rPr>
          <w:rFonts w:ascii="Times New Roman" w:hAnsi="Times New Roman" w:eastAsia="黑体" w:cs="Times New Roman"/>
          <w:b/>
          <w:snapToGrid w:val="0"/>
          <w:kern w:val="0"/>
          <w:sz w:val="28"/>
          <w:szCs w:val="28"/>
        </w:rPr>
      </w:pPr>
      <w:bookmarkStart w:id="5" w:name="_Toc422308953"/>
      <w:r>
        <w:rPr>
          <w:rFonts w:ascii="Times New Roman" w:hAnsi="Times New Roman" w:eastAsia="黑体" w:cs="Times New Roman"/>
          <w:b/>
          <w:snapToGrid w:val="0"/>
          <w:kern w:val="0"/>
          <w:sz w:val="28"/>
          <w:szCs w:val="28"/>
        </w:rPr>
        <w:t>风险识别的范围</w:t>
      </w:r>
      <w:bookmarkEnd w:id="5"/>
    </w:p>
    <w:p>
      <w:pPr>
        <w:spacing w:line="440" w:lineRule="exact"/>
        <w:ind w:firstLine="480"/>
        <w:rPr>
          <w:rFonts w:ascii="Times New Roman" w:hAnsi="Times New Roman" w:cs="Times New Roman"/>
        </w:rPr>
      </w:pPr>
      <w:r>
        <w:rPr>
          <w:rFonts w:ascii="Times New Roman" w:hAnsi="Times New Roman" w:cs="Times New Roman"/>
        </w:rPr>
        <w:t>风险识别范围包括建设项目生产设施风险识别和生产过程所涉及的物质风险识别。</w:t>
      </w:r>
    </w:p>
    <w:p>
      <w:pPr>
        <w:spacing w:line="440" w:lineRule="exact"/>
        <w:ind w:firstLine="480"/>
        <w:rPr>
          <w:rFonts w:ascii="Times New Roman" w:hAnsi="Times New Roman" w:cs="Times New Roman"/>
        </w:rPr>
      </w:pPr>
      <w:r>
        <w:rPr>
          <w:rFonts w:ascii="Times New Roman" w:hAnsi="Times New Roman" w:cs="Times New Roman"/>
        </w:rPr>
        <w:t>（1）生产设施风险识别范围：主要生产装置以及储罐的危险性分析等；</w:t>
      </w:r>
    </w:p>
    <w:p>
      <w:pPr>
        <w:spacing w:line="440" w:lineRule="exact"/>
        <w:ind w:firstLine="480"/>
        <w:rPr>
          <w:rFonts w:ascii="Times New Roman" w:hAnsi="Times New Roman" w:cs="Times New Roman"/>
        </w:rPr>
      </w:pPr>
      <w:r>
        <w:rPr>
          <w:rFonts w:ascii="Times New Roman" w:hAnsi="Times New Roman" w:cs="Times New Roman"/>
        </w:rPr>
        <w:t>（2）物质风险识别范围：根据生产特点和原辅材料理化性质，确定项目存在环境风险的物质主要为具有易燃易爆的危险化学品。</w:t>
      </w:r>
    </w:p>
    <w:p>
      <w:pPr>
        <w:numPr>
          <w:ilvl w:val="2"/>
          <w:numId w:val="1"/>
        </w:numPr>
        <w:autoSpaceDE w:val="0"/>
        <w:autoSpaceDN w:val="0"/>
        <w:adjustRightInd w:val="0"/>
        <w:snapToGrid w:val="0"/>
        <w:spacing w:line="600" w:lineRule="exact"/>
        <w:ind w:left="0" w:firstLine="0" w:firstLineChars="0"/>
        <w:jc w:val="left"/>
        <w:textAlignment w:val="baseline"/>
        <w:outlineLvl w:val="2"/>
        <w:rPr>
          <w:rFonts w:ascii="Times New Roman" w:hAnsi="Times New Roman" w:eastAsia="黑体" w:cs="Times New Roman"/>
          <w:snapToGrid w:val="0"/>
          <w:kern w:val="0"/>
          <w:sz w:val="30"/>
          <w:szCs w:val="30"/>
        </w:rPr>
      </w:pPr>
      <w:r>
        <w:rPr>
          <w:rFonts w:ascii="Times New Roman" w:hAnsi="Times New Roman" w:eastAsia="黑体" w:cs="Times New Roman"/>
          <w:b/>
          <w:snapToGrid w:val="0"/>
          <w:kern w:val="0"/>
          <w:sz w:val="28"/>
          <w:szCs w:val="28"/>
        </w:rPr>
        <w:t>风险类型</w:t>
      </w:r>
    </w:p>
    <w:p>
      <w:pPr>
        <w:snapToGrid w:val="0"/>
        <w:spacing w:line="440" w:lineRule="exact"/>
        <w:ind w:firstLine="480"/>
        <w:rPr>
          <w:rFonts w:ascii="Times New Roman" w:hAnsi="Times New Roman" w:cs="Times New Roman"/>
        </w:rPr>
      </w:pPr>
      <w:r>
        <w:rPr>
          <w:rFonts w:ascii="Times New Roman" w:hAnsi="Times New Roman" w:cs="Times New Roman"/>
        </w:rPr>
        <w:t>风险识别范围包括项目生产装置、储罐所涉及的物质风险识别。</w:t>
      </w:r>
    </w:p>
    <w:p>
      <w:pPr>
        <w:snapToGrid w:val="0"/>
        <w:spacing w:line="440" w:lineRule="exact"/>
        <w:ind w:firstLine="480"/>
        <w:rPr>
          <w:rFonts w:ascii="Times New Roman" w:hAnsi="Times New Roman" w:cs="Times New Roman"/>
        </w:rPr>
      </w:pPr>
      <w:r>
        <w:rPr>
          <w:rFonts w:ascii="Times New Roman" w:hAnsi="Times New Roman" w:cs="Times New Roman"/>
        </w:rPr>
        <w:t>本项目存在具有潜在危险的N-甲基吡咯烷酮、电解液等物质，这些物质一旦发生事故泄露等会弥散至周围环境对人员造成伤害等。本项目风险类型指物料泄漏、火灾爆炸等事故，不考虑自然灾害如地震、洪水、台风等引起的事故风险。</w:t>
      </w:r>
    </w:p>
    <w:p>
      <w:pPr>
        <w:numPr>
          <w:ilvl w:val="2"/>
          <w:numId w:val="1"/>
        </w:numPr>
        <w:autoSpaceDE w:val="0"/>
        <w:autoSpaceDN w:val="0"/>
        <w:adjustRightInd w:val="0"/>
        <w:snapToGrid w:val="0"/>
        <w:spacing w:line="600" w:lineRule="exact"/>
        <w:ind w:left="0" w:firstLine="0" w:firstLineChars="0"/>
        <w:jc w:val="left"/>
        <w:textAlignment w:val="baseline"/>
        <w:outlineLvl w:val="2"/>
        <w:rPr>
          <w:rFonts w:ascii="Times New Roman" w:hAnsi="Times New Roman" w:eastAsia="黑体" w:cs="Times New Roman"/>
          <w:b/>
          <w:snapToGrid w:val="0"/>
          <w:kern w:val="0"/>
          <w:sz w:val="28"/>
          <w:szCs w:val="28"/>
        </w:rPr>
      </w:pPr>
      <w:r>
        <w:rPr>
          <w:rFonts w:ascii="Times New Roman" w:hAnsi="Times New Roman" w:eastAsia="黑体" w:cs="Times New Roman"/>
          <w:b/>
          <w:snapToGrid w:val="0"/>
          <w:kern w:val="0"/>
          <w:sz w:val="28"/>
          <w:szCs w:val="28"/>
        </w:rPr>
        <w:t xml:space="preserve">向环境转移途径及危害形式 </w:t>
      </w:r>
    </w:p>
    <w:p>
      <w:pPr>
        <w:snapToGrid w:val="0"/>
        <w:spacing w:line="440" w:lineRule="exact"/>
        <w:ind w:firstLine="480"/>
        <w:rPr>
          <w:rFonts w:ascii="Times New Roman" w:hAnsi="Times New Roman" w:cs="Times New Roman"/>
        </w:rPr>
      </w:pPr>
      <w:r>
        <w:rPr>
          <w:rFonts w:ascii="Times New Roman" w:hAnsi="Times New Roman" w:cs="Times New Roman"/>
        </w:rPr>
        <w:t>由电解液各组分物质的理化性质可知，沸点均高于贮存时的仓库室温，故泄出物不存在闪蒸和热量蒸发，而只通过质量蒸发进入空气。本项目泄出物质 在常温常压下不稳定，受热或遇明火易燃烧甚至爆炸，碳酸乙烯酯等原料燃烧 产物为CO</w:t>
      </w:r>
      <w:r>
        <w:rPr>
          <w:rFonts w:ascii="Times New Roman" w:hAnsi="Times New Roman" w:cs="Times New Roman"/>
          <w:vertAlign w:val="subscript"/>
        </w:rPr>
        <w:t>2</w:t>
      </w:r>
      <w:r>
        <w:rPr>
          <w:rFonts w:ascii="Times New Roman" w:hAnsi="Times New Roman" w:cs="Times New Roman"/>
        </w:rPr>
        <w:t>和水。</w:t>
      </w:r>
    </w:p>
    <w:p>
      <w:pPr>
        <w:snapToGrid w:val="0"/>
        <w:spacing w:line="440" w:lineRule="exact"/>
        <w:ind w:firstLine="480"/>
        <w:rPr>
          <w:rFonts w:ascii="Times New Roman" w:hAnsi="Times New Roman" w:cs="Times New Roman"/>
        </w:rPr>
      </w:pPr>
      <w:r>
        <w:rPr>
          <w:rFonts w:ascii="Times New Roman" w:hAnsi="Times New Roman" w:cs="Times New Roman"/>
        </w:rPr>
        <w:t>本项目所涉及的部分化学品用水灭火无效，而需使用泡沫、干粉、砂土等作为灭火材料。消防用水也为雾化后对燃烧的容器或燃烧区域附近的物质容器做表面降温处理，绝大部分受热蒸发，故污染物基本不会进入水体。少量的消防水经危险品库四周设置的地沟收集后进入事故池暂存，待后续处理或处置。</w:t>
      </w:r>
    </w:p>
    <w:p>
      <w:pPr>
        <w:snapToGrid w:val="0"/>
        <w:spacing w:line="440" w:lineRule="exact"/>
        <w:ind w:firstLine="480"/>
        <w:rPr>
          <w:rFonts w:ascii="Times New Roman" w:hAnsi="Times New Roman" w:cs="Times New Roman"/>
          <w:spacing w:val="-5"/>
        </w:rPr>
      </w:pPr>
      <w:r>
        <w:rPr>
          <w:rFonts w:ascii="Times New Roman" w:hAnsi="Times New Roman" w:cs="Times New Roman"/>
        </w:rPr>
        <w:t>由上述可知，本项目泄出物质向环境转移的方式和途径主要为：泄漏物料和燃烧废气向大气转移和泄漏物料随消防液向水体转移。在所设定的事故情况下，污染物的转移途径和危害形式见表1.2-1。</w:t>
      </w:r>
    </w:p>
    <w:p>
      <w:pPr>
        <w:snapToGrid w:val="0"/>
        <w:spacing w:line="560" w:lineRule="exact"/>
        <w:ind w:firstLine="480" w:firstLineChars="0"/>
        <w:jc w:val="center"/>
        <w:rPr>
          <w:rFonts w:ascii="Times New Roman" w:hAnsi="Times New Roman" w:eastAsia="黑体" w:cs="Times New Roman"/>
          <w:snapToGrid w:val="0"/>
          <w:kern w:val="0"/>
          <w:szCs w:val="24"/>
        </w:rPr>
      </w:pPr>
      <w:r>
        <w:rPr>
          <w:rFonts w:ascii="Times New Roman" w:hAnsi="Times New Roman" w:eastAsia="黑体" w:cs="Times New Roman"/>
          <w:snapToGrid w:val="0"/>
          <w:kern w:val="0"/>
          <w:szCs w:val="24"/>
        </w:rPr>
        <w:t>移途径和危害形式</w:t>
      </w:r>
    </w:p>
    <w:p>
      <w:pPr>
        <w:snapToGrid w:val="0"/>
        <w:spacing w:line="0" w:lineRule="atLeast"/>
        <w:ind w:firstLine="0" w:firstLineChars="0"/>
        <w:jc w:val="left"/>
        <w:rPr>
          <w:rFonts w:ascii="Times New Roman" w:hAnsi="Times New Roman" w:cs="Times New Roman"/>
          <w:spacing w:val="3"/>
        </w:rPr>
      </w:pPr>
      <w:r>
        <w:rPr>
          <w:rFonts w:ascii="Times New Roman" w:hAnsi="Times New Roman" w:cs="Times New Roman"/>
          <w:snapToGrid w:val="0"/>
          <w:kern w:val="0"/>
          <w:sz w:val="21"/>
          <w:szCs w:val="24"/>
        </w:rPr>
        <w:t>表1.2-1</w:t>
      </w:r>
    </w:p>
    <w:tbl>
      <w:tblPr>
        <w:tblStyle w:val="11"/>
        <w:tblW w:w="8525" w:type="dxa"/>
        <w:jc w:val="center"/>
        <w:tblInd w:w="0" w:type="dxa"/>
        <w:tblLayout w:type="fixed"/>
        <w:tblCellMar>
          <w:top w:w="0" w:type="dxa"/>
          <w:left w:w="0" w:type="dxa"/>
          <w:bottom w:w="0" w:type="dxa"/>
          <w:right w:w="0" w:type="dxa"/>
        </w:tblCellMar>
      </w:tblPr>
      <w:tblGrid>
        <w:gridCol w:w="965"/>
        <w:gridCol w:w="1094"/>
        <w:gridCol w:w="1485"/>
        <w:gridCol w:w="1276"/>
        <w:gridCol w:w="720"/>
        <w:gridCol w:w="992"/>
        <w:gridCol w:w="1993"/>
      </w:tblGrid>
      <w:tr>
        <w:tblPrEx>
          <w:tblLayout w:type="fixed"/>
          <w:tblCellMar>
            <w:top w:w="0" w:type="dxa"/>
            <w:left w:w="0" w:type="dxa"/>
            <w:bottom w:w="0" w:type="dxa"/>
            <w:right w:w="0" w:type="dxa"/>
          </w:tblCellMar>
        </w:tblPrEx>
        <w:trPr>
          <w:trHeight w:val="295" w:hRule="exact"/>
          <w:jc w:val="center"/>
        </w:trPr>
        <w:tc>
          <w:tcPr>
            <w:tcW w:w="965" w:type="dxa"/>
            <w:vMerge w:val="restart"/>
            <w:tcBorders>
              <w:top w:val="single" w:color="000000" w:sz="10" w:space="0"/>
              <w:left w:val="nil"/>
              <w:bottom w:val="single" w:color="000000" w:sz="4"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事故</w:t>
            </w:r>
          </w:p>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类型</w:t>
            </w:r>
          </w:p>
        </w:tc>
        <w:tc>
          <w:tcPr>
            <w:tcW w:w="1094" w:type="dxa"/>
            <w:vMerge w:val="restart"/>
            <w:tcBorders>
              <w:top w:val="single" w:color="000000" w:sz="10" w:space="0"/>
              <w:left w:val="single" w:color="000000" w:sz="4" w:space="0"/>
              <w:bottom w:val="single" w:color="000000" w:sz="4"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事故位置</w:t>
            </w:r>
          </w:p>
        </w:tc>
        <w:tc>
          <w:tcPr>
            <w:tcW w:w="1485" w:type="dxa"/>
            <w:vMerge w:val="restart"/>
            <w:tcBorders>
              <w:top w:val="single" w:color="000000" w:sz="10" w:space="0"/>
              <w:left w:val="single" w:color="000000" w:sz="4" w:space="0"/>
              <w:bottom w:val="single" w:color="000000" w:sz="4"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事故危害</w:t>
            </w:r>
          </w:p>
        </w:tc>
        <w:tc>
          <w:tcPr>
            <w:tcW w:w="2988" w:type="dxa"/>
            <w:gridSpan w:val="3"/>
            <w:tcBorders>
              <w:top w:val="single" w:color="000000" w:sz="10" w:space="0"/>
              <w:left w:val="single" w:color="000000" w:sz="4" w:space="0"/>
              <w:bottom w:val="single" w:color="000000" w:sz="4"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污染物转移途径</w:t>
            </w:r>
          </w:p>
        </w:tc>
        <w:tc>
          <w:tcPr>
            <w:tcW w:w="1993" w:type="dxa"/>
            <w:vMerge w:val="restart"/>
            <w:tcBorders>
              <w:top w:val="single" w:color="000000" w:sz="10" w:space="0"/>
              <w:left w:val="single" w:color="000000" w:sz="4" w:space="0"/>
              <w:bottom w:val="single" w:color="000000" w:sz="4" w:space="0"/>
              <w:right w:val="nil"/>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危害形式</w:t>
            </w:r>
          </w:p>
        </w:tc>
      </w:tr>
      <w:tr>
        <w:tblPrEx>
          <w:tblLayout w:type="fixed"/>
          <w:tblCellMar>
            <w:top w:w="0" w:type="dxa"/>
            <w:left w:w="0" w:type="dxa"/>
            <w:bottom w:w="0" w:type="dxa"/>
            <w:right w:w="0" w:type="dxa"/>
          </w:tblCellMar>
        </w:tblPrEx>
        <w:trPr>
          <w:trHeight w:val="288" w:hRule="exact"/>
          <w:jc w:val="center"/>
        </w:trPr>
        <w:tc>
          <w:tcPr>
            <w:tcW w:w="965" w:type="dxa"/>
            <w:vMerge w:val="continue"/>
            <w:tcBorders>
              <w:top w:val="single" w:color="000000" w:sz="10" w:space="0"/>
              <w:left w:val="nil"/>
              <w:bottom w:val="single" w:color="000000" w:sz="4"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p>
        </w:tc>
        <w:tc>
          <w:tcPr>
            <w:tcW w:w="1094" w:type="dxa"/>
            <w:vMerge w:val="continue"/>
            <w:tcBorders>
              <w:top w:val="single" w:color="000000" w:sz="10" w:space="0"/>
              <w:left w:val="single" w:color="000000" w:sz="4" w:space="0"/>
              <w:bottom w:val="single" w:color="000000" w:sz="4"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p>
        </w:tc>
        <w:tc>
          <w:tcPr>
            <w:tcW w:w="1485" w:type="dxa"/>
            <w:vMerge w:val="continue"/>
            <w:tcBorders>
              <w:top w:val="single" w:color="000000" w:sz="10" w:space="0"/>
              <w:left w:val="single" w:color="000000" w:sz="4" w:space="0"/>
              <w:bottom w:val="single" w:color="000000" w:sz="4"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大气</w:t>
            </w:r>
          </w:p>
        </w:tc>
        <w:tc>
          <w:tcPr>
            <w:tcW w:w="720" w:type="dxa"/>
            <w:tcBorders>
              <w:top w:val="single" w:color="000000" w:sz="4" w:space="0"/>
              <w:left w:val="single" w:color="000000" w:sz="4" w:space="0"/>
              <w:bottom w:val="single" w:color="000000" w:sz="4"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水</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土壤</w:t>
            </w:r>
          </w:p>
        </w:tc>
        <w:tc>
          <w:tcPr>
            <w:tcW w:w="1993" w:type="dxa"/>
            <w:vMerge w:val="continue"/>
            <w:tcBorders>
              <w:top w:val="single" w:color="000000" w:sz="10" w:space="0"/>
              <w:left w:val="single" w:color="000000" w:sz="4" w:space="0"/>
              <w:bottom w:val="single" w:color="000000" w:sz="4" w:space="0"/>
              <w:right w:val="nil"/>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p>
        </w:tc>
      </w:tr>
      <w:tr>
        <w:tblPrEx>
          <w:tblLayout w:type="fixed"/>
          <w:tblCellMar>
            <w:top w:w="0" w:type="dxa"/>
            <w:left w:w="0" w:type="dxa"/>
            <w:bottom w:w="0" w:type="dxa"/>
            <w:right w:w="0" w:type="dxa"/>
          </w:tblCellMar>
        </w:tblPrEx>
        <w:trPr>
          <w:trHeight w:val="554" w:hRule="exact"/>
          <w:jc w:val="center"/>
        </w:trPr>
        <w:tc>
          <w:tcPr>
            <w:tcW w:w="965" w:type="dxa"/>
            <w:tcBorders>
              <w:top w:val="single" w:color="000000" w:sz="4" w:space="0"/>
              <w:left w:val="nil"/>
              <w:bottom w:val="single" w:color="000000" w:sz="4"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毒物</w:t>
            </w:r>
          </w:p>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泄露</w:t>
            </w:r>
          </w:p>
        </w:tc>
        <w:tc>
          <w:tcPr>
            <w:tcW w:w="1094" w:type="dxa"/>
            <w:tcBorders>
              <w:top w:val="single" w:color="000000" w:sz="4" w:space="0"/>
              <w:left w:val="single" w:color="000000" w:sz="4" w:space="0"/>
              <w:bottom w:val="single" w:color="000000" w:sz="4"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电解液危险品库</w:t>
            </w:r>
          </w:p>
        </w:tc>
        <w:tc>
          <w:tcPr>
            <w:tcW w:w="1485" w:type="dxa"/>
            <w:tcBorders>
              <w:top w:val="single" w:color="000000" w:sz="4" w:space="0"/>
              <w:left w:val="single" w:color="000000" w:sz="4" w:space="0"/>
              <w:bottom w:val="single" w:color="000000" w:sz="4"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氟化氢气态毒物</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氟化氢扩散</w:t>
            </w:r>
          </w:p>
        </w:tc>
        <w:tc>
          <w:tcPr>
            <w:tcW w:w="720" w:type="dxa"/>
            <w:tcBorders>
              <w:top w:val="single" w:color="000000" w:sz="4" w:space="0"/>
              <w:left w:val="single" w:color="000000" w:sz="4" w:space="0"/>
              <w:bottom w:val="single" w:color="000000" w:sz="4"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w:t>
            </w:r>
          </w:p>
        </w:tc>
        <w:tc>
          <w:tcPr>
            <w:tcW w:w="1993" w:type="dxa"/>
            <w:tcBorders>
              <w:top w:val="single" w:color="000000" w:sz="4" w:space="0"/>
              <w:left w:val="single" w:color="000000" w:sz="4" w:space="0"/>
              <w:bottom w:val="single" w:color="000000" w:sz="4" w:space="0"/>
              <w:right w:val="nil"/>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人员危害、</w:t>
            </w:r>
          </w:p>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植物损害</w:t>
            </w:r>
          </w:p>
        </w:tc>
      </w:tr>
      <w:tr>
        <w:tblPrEx>
          <w:tblLayout w:type="fixed"/>
          <w:tblCellMar>
            <w:top w:w="0" w:type="dxa"/>
            <w:left w:w="0" w:type="dxa"/>
            <w:bottom w:w="0" w:type="dxa"/>
            <w:right w:w="0" w:type="dxa"/>
          </w:tblCellMar>
        </w:tblPrEx>
        <w:trPr>
          <w:trHeight w:val="562" w:hRule="exact"/>
          <w:jc w:val="center"/>
        </w:trPr>
        <w:tc>
          <w:tcPr>
            <w:tcW w:w="965" w:type="dxa"/>
            <w:vMerge w:val="restart"/>
            <w:tcBorders>
              <w:top w:val="single" w:color="000000" w:sz="4" w:space="0"/>
              <w:left w:val="nil"/>
              <w:bottom w:val="single" w:color="000000" w:sz="10"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火灾</w:t>
            </w:r>
          </w:p>
        </w:tc>
        <w:tc>
          <w:tcPr>
            <w:tcW w:w="1094" w:type="dxa"/>
            <w:vMerge w:val="restart"/>
            <w:tcBorders>
              <w:top w:val="single" w:color="000000" w:sz="4" w:space="0"/>
              <w:left w:val="single" w:color="000000" w:sz="4" w:space="0"/>
              <w:bottom w:val="single" w:color="000000" w:sz="10"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电解液贮存区</w:t>
            </w:r>
          </w:p>
        </w:tc>
        <w:tc>
          <w:tcPr>
            <w:tcW w:w="1485" w:type="dxa"/>
            <w:tcBorders>
              <w:top w:val="single" w:color="000000" w:sz="4" w:space="0"/>
              <w:left w:val="single" w:color="000000" w:sz="4" w:space="0"/>
              <w:bottom w:val="single" w:color="000000" w:sz="4"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热辐射</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扩散</w:t>
            </w:r>
          </w:p>
        </w:tc>
        <w:tc>
          <w:tcPr>
            <w:tcW w:w="720" w:type="dxa"/>
            <w:tcBorders>
              <w:top w:val="single" w:color="000000" w:sz="4" w:space="0"/>
              <w:left w:val="single" w:color="000000" w:sz="4" w:space="0"/>
              <w:bottom w:val="single" w:color="000000" w:sz="4"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w:t>
            </w:r>
          </w:p>
        </w:tc>
        <w:tc>
          <w:tcPr>
            <w:tcW w:w="1993" w:type="dxa"/>
            <w:tcBorders>
              <w:top w:val="single" w:color="000000" w:sz="4" w:space="0"/>
              <w:left w:val="single" w:color="000000" w:sz="4" w:space="0"/>
              <w:bottom w:val="single" w:color="000000" w:sz="4" w:space="0"/>
              <w:right w:val="nil"/>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财产损失、</w:t>
            </w:r>
          </w:p>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人员伤亡</w:t>
            </w:r>
          </w:p>
        </w:tc>
      </w:tr>
      <w:tr>
        <w:tblPrEx>
          <w:tblLayout w:type="fixed"/>
          <w:tblCellMar>
            <w:top w:w="0" w:type="dxa"/>
            <w:left w:w="0" w:type="dxa"/>
            <w:bottom w:w="0" w:type="dxa"/>
            <w:right w:w="0" w:type="dxa"/>
          </w:tblCellMar>
        </w:tblPrEx>
        <w:trPr>
          <w:trHeight w:val="288" w:hRule="exact"/>
          <w:jc w:val="center"/>
        </w:trPr>
        <w:tc>
          <w:tcPr>
            <w:tcW w:w="965" w:type="dxa"/>
            <w:vMerge w:val="continue"/>
            <w:tcBorders>
              <w:top w:val="single" w:color="000000" w:sz="4" w:space="0"/>
              <w:left w:val="nil"/>
              <w:bottom w:val="single" w:color="000000" w:sz="10"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p>
        </w:tc>
        <w:tc>
          <w:tcPr>
            <w:tcW w:w="1094" w:type="dxa"/>
            <w:vMerge w:val="continue"/>
            <w:tcBorders>
              <w:top w:val="single" w:color="000000" w:sz="4" w:space="0"/>
              <w:left w:val="single" w:color="000000" w:sz="4" w:space="0"/>
              <w:bottom w:val="single" w:color="000000" w:sz="10"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p>
        </w:tc>
        <w:tc>
          <w:tcPr>
            <w:tcW w:w="1485" w:type="dxa"/>
            <w:tcBorders>
              <w:top w:val="single" w:color="000000" w:sz="4" w:space="0"/>
              <w:left w:val="single" w:color="000000" w:sz="4" w:space="0"/>
              <w:bottom w:val="single" w:color="000000" w:sz="4"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烟雾</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扩散</w:t>
            </w:r>
          </w:p>
        </w:tc>
        <w:tc>
          <w:tcPr>
            <w:tcW w:w="720" w:type="dxa"/>
            <w:tcBorders>
              <w:top w:val="single" w:color="000000" w:sz="4" w:space="0"/>
              <w:left w:val="single" w:color="000000" w:sz="4" w:space="0"/>
              <w:bottom w:val="single" w:color="000000" w:sz="4"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w:t>
            </w:r>
          </w:p>
        </w:tc>
        <w:tc>
          <w:tcPr>
            <w:tcW w:w="1993" w:type="dxa"/>
            <w:tcBorders>
              <w:top w:val="single" w:color="000000" w:sz="4" w:space="0"/>
              <w:left w:val="single" w:color="000000" w:sz="4" w:space="0"/>
              <w:bottom w:val="single" w:color="000000" w:sz="4" w:space="0"/>
              <w:right w:val="nil"/>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人员伤亡</w:t>
            </w:r>
          </w:p>
        </w:tc>
      </w:tr>
      <w:tr>
        <w:tblPrEx>
          <w:tblLayout w:type="fixed"/>
          <w:tblCellMar>
            <w:top w:w="0" w:type="dxa"/>
            <w:left w:w="0" w:type="dxa"/>
            <w:bottom w:w="0" w:type="dxa"/>
            <w:right w:w="0" w:type="dxa"/>
          </w:tblCellMar>
        </w:tblPrEx>
        <w:trPr>
          <w:trHeight w:val="288" w:hRule="exact"/>
          <w:jc w:val="center"/>
        </w:trPr>
        <w:tc>
          <w:tcPr>
            <w:tcW w:w="965" w:type="dxa"/>
            <w:vMerge w:val="continue"/>
            <w:tcBorders>
              <w:top w:val="single" w:color="000000" w:sz="4" w:space="0"/>
              <w:left w:val="nil"/>
              <w:bottom w:val="single" w:color="000000" w:sz="10"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p>
        </w:tc>
        <w:tc>
          <w:tcPr>
            <w:tcW w:w="1094" w:type="dxa"/>
            <w:vMerge w:val="continue"/>
            <w:tcBorders>
              <w:top w:val="single" w:color="000000" w:sz="4" w:space="0"/>
              <w:left w:val="single" w:color="000000" w:sz="4" w:space="0"/>
              <w:bottom w:val="single" w:color="000000" w:sz="10"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p>
        </w:tc>
        <w:tc>
          <w:tcPr>
            <w:tcW w:w="1485" w:type="dxa"/>
            <w:tcBorders>
              <w:top w:val="single" w:color="000000" w:sz="4" w:space="0"/>
              <w:left w:val="single" w:color="000000" w:sz="4" w:space="0"/>
              <w:bottom w:val="single" w:color="000000" w:sz="4"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伴生毒物</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扩散</w:t>
            </w:r>
          </w:p>
        </w:tc>
        <w:tc>
          <w:tcPr>
            <w:tcW w:w="720" w:type="dxa"/>
            <w:tcBorders>
              <w:top w:val="single" w:color="000000" w:sz="4" w:space="0"/>
              <w:left w:val="single" w:color="000000" w:sz="4" w:space="0"/>
              <w:bottom w:val="single" w:color="000000" w:sz="4"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w:t>
            </w:r>
          </w:p>
        </w:tc>
        <w:tc>
          <w:tcPr>
            <w:tcW w:w="1993" w:type="dxa"/>
            <w:tcBorders>
              <w:top w:val="single" w:color="000000" w:sz="4" w:space="0"/>
              <w:left w:val="single" w:color="000000" w:sz="4" w:space="0"/>
              <w:bottom w:val="single" w:color="000000" w:sz="4" w:space="0"/>
              <w:right w:val="nil"/>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人员伤亡</w:t>
            </w:r>
          </w:p>
        </w:tc>
      </w:tr>
      <w:tr>
        <w:tblPrEx>
          <w:tblLayout w:type="fixed"/>
          <w:tblCellMar>
            <w:top w:w="0" w:type="dxa"/>
            <w:left w:w="0" w:type="dxa"/>
            <w:bottom w:w="0" w:type="dxa"/>
            <w:right w:w="0" w:type="dxa"/>
          </w:tblCellMar>
        </w:tblPrEx>
        <w:trPr>
          <w:trHeight w:val="842" w:hRule="exact"/>
          <w:jc w:val="center"/>
        </w:trPr>
        <w:tc>
          <w:tcPr>
            <w:tcW w:w="965" w:type="dxa"/>
            <w:vMerge w:val="continue"/>
            <w:tcBorders>
              <w:top w:val="single" w:color="000000" w:sz="4" w:space="0"/>
              <w:left w:val="nil"/>
              <w:bottom w:val="single" w:color="000000" w:sz="10"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p>
        </w:tc>
        <w:tc>
          <w:tcPr>
            <w:tcW w:w="1094" w:type="dxa"/>
            <w:vMerge w:val="continue"/>
            <w:tcBorders>
              <w:top w:val="single" w:color="000000" w:sz="4" w:space="0"/>
              <w:left w:val="single" w:color="000000" w:sz="4" w:space="0"/>
              <w:bottom w:val="single" w:color="000000" w:sz="10"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p>
        </w:tc>
        <w:tc>
          <w:tcPr>
            <w:tcW w:w="1485" w:type="dxa"/>
            <w:tcBorders>
              <w:top w:val="single" w:color="000000" w:sz="4" w:space="0"/>
              <w:left w:val="single" w:color="000000" w:sz="4" w:space="0"/>
              <w:bottom w:val="single" w:color="000000" w:sz="10"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消防水</w:t>
            </w:r>
          </w:p>
        </w:tc>
        <w:tc>
          <w:tcPr>
            <w:tcW w:w="1276" w:type="dxa"/>
            <w:tcBorders>
              <w:top w:val="single" w:color="000000" w:sz="4" w:space="0"/>
              <w:left w:val="single" w:color="000000" w:sz="4" w:space="0"/>
              <w:bottom w:val="single" w:color="000000" w:sz="10"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w:t>
            </w:r>
          </w:p>
        </w:tc>
        <w:tc>
          <w:tcPr>
            <w:tcW w:w="720" w:type="dxa"/>
            <w:tcBorders>
              <w:top w:val="single" w:color="000000" w:sz="4" w:space="0"/>
              <w:left w:val="single" w:color="000000" w:sz="4" w:space="0"/>
              <w:bottom w:val="single" w:color="000000" w:sz="10"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消防水、雨水</w:t>
            </w:r>
          </w:p>
        </w:tc>
        <w:tc>
          <w:tcPr>
            <w:tcW w:w="992" w:type="dxa"/>
            <w:tcBorders>
              <w:top w:val="single" w:color="000000" w:sz="4" w:space="0"/>
              <w:left w:val="single" w:color="000000" w:sz="4" w:space="0"/>
              <w:bottom w:val="single" w:color="000000" w:sz="10" w:space="0"/>
              <w:right w:val="single" w:color="000000" w:sz="4"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渗透、吸收</w:t>
            </w:r>
          </w:p>
        </w:tc>
        <w:tc>
          <w:tcPr>
            <w:tcW w:w="1993" w:type="dxa"/>
            <w:tcBorders>
              <w:top w:val="single" w:color="000000" w:sz="4" w:space="0"/>
              <w:left w:val="single" w:color="000000" w:sz="4" w:space="0"/>
              <w:bottom w:val="single" w:color="000000" w:sz="10" w:space="0"/>
              <w:right w:val="nil"/>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地表水污染、地下水污染、土壤污染</w:t>
            </w:r>
          </w:p>
        </w:tc>
      </w:tr>
    </w:tbl>
    <w:p>
      <w:pPr>
        <w:numPr>
          <w:ilvl w:val="2"/>
          <w:numId w:val="1"/>
        </w:numPr>
        <w:autoSpaceDE w:val="0"/>
        <w:autoSpaceDN w:val="0"/>
        <w:adjustRightInd w:val="0"/>
        <w:snapToGrid w:val="0"/>
        <w:spacing w:line="600" w:lineRule="exact"/>
        <w:ind w:left="0" w:firstLine="0" w:firstLineChars="0"/>
        <w:jc w:val="left"/>
        <w:textAlignment w:val="baseline"/>
        <w:outlineLvl w:val="2"/>
        <w:rPr>
          <w:rFonts w:ascii="Times New Roman" w:hAnsi="Times New Roman" w:eastAsia="黑体" w:cs="Times New Roman"/>
          <w:b/>
          <w:snapToGrid w:val="0"/>
          <w:kern w:val="0"/>
          <w:sz w:val="28"/>
          <w:szCs w:val="28"/>
        </w:rPr>
      </w:pPr>
      <w:r>
        <w:rPr>
          <w:rFonts w:ascii="Times New Roman" w:hAnsi="Times New Roman" w:eastAsia="黑体" w:cs="Times New Roman"/>
          <w:b/>
          <w:snapToGrid w:val="0"/>
          <w:kern w:val="0"/>
          <w:sz w:val="28"/>
          <w:szCs w:val="28"/>
        </w:rPr>
        <w:t>物质危险性分析</w:t>
      </w:r>
    </w:p>
    <w:p>
      <w:pPr>
        <w:kinsoku w:val="0"/>
        <w:overflowPunct w:val="0"/>
        <w:autoSpaceDE w:val="0"/>
        <w:autoSpaceDN w:val="0"/>
        <w:adjustRightInd w:val="0"/>
        <w:spacing w:line="440" w:lineRule="exact"/>
        <w:ind w:firstLine="488"/>
        <w:rPr>
          <w:rFonts w:ascii="Times New Roman" w:hAnsi="Times New Roman" w:cs="Times New Roman"/>
          <w:kern w:val="0"/>
          <w:szCs w:val="24"/>
        </w:rPr>
      </w:pPr>
      <w:r>
        <w:rPr>
          <w:rFonts w:ascii="Times New Roman" w:hAnsi="Times New Roman" w:cs="Times New Roman"/>
          <w:spacing w:val="2"/>
          <w:kern w:val="0"/>
          <w:szCs w:val="24"/>
        </w:rPr>
        <w:t>本项目在生产、加工、运输和贮存中涉及到的原辅材料见环评报告表表</w:t>
      </w:r>
      <w:r>
        <w:rPr>
          <w:rFonts w:ascii="Times New Roman" w:hAnsi="Times New Roman" w:cs="Times New Roman"/>
          <w:kern w:val="0"/>
          <w:szCs w:val="24"/>
        </w:rPr>
        <w:t>1，主要原</w:t>
      </w:r>
      <w:r>
        <w:rPr>
          <w:rFonts w:ascii="Times New Roman" w:hAnsi="Times New Roman" w:cs="Times New Roman"/>
          <w:w w:val="105"/>
          <w:kern w:val="0"/>
          <w:szCs w:val="24"/>
        </w:rPr>
        <w:t>辅料的理化性质、毒性毒理见</w:t>
      </w:r>
      <w:r>
        <w:rPr>
          <w:rFonts w:ascii="Times New Roman" w:hAnsi="Times New Roman" w:cs="Times New Roman"/>
          <w:spacing w:val="2"/>
          <w:kern w:val="0"/>
          <w:szCs w:val="24"/>
        </w:rPr>
        <w:t>环评报告表</w:t>
      </w:r>
      <w:r>
        <w:rPr>
          <w:rFonts w:ascii="Times New Roman" w:hAnsi="Times New Roman" w:cs="Times New Roman"/>
          <w:w w:val="105"/>
          <w:kern w:val="0"/>
          <w:szCs w:val="24"/>
        </w:rPr>
        <w:t>表2，结合物质危险判别标准（见表</w:t>
      </w:r>
      <w:r>
        <w:rPr>
          <w:rFonts w:ascii="Times New Roman" w:hAnsi="Times New Roman" w:cs="Times New Roman"/>
          <w:spacing w:val="-92"/>
          <w:w w:val="105"/>
          <w:kern w:val="0"/>
          <w:szCs w:val="24"/>
        </w:rPr>
        <w:t xml:space="preserve"> </w:t>
      </w:r>
      <w:r>
        <w:rPr>
          <w:rFonts w:ascii="Times New Roman" w:hAnsi="Times New Roman" w:cs="Times New Roman"/>
          <w:w w:val="105"/>
          <w:kern w:val="0"/>
          <w:szCs w:val="24"/>
        </w:rPr>
        <w:t>1.2-2）可知，本项目涉及到的化学物质主要是</w:t>
      </w:r>
      <w:r>
        <w:rPr>
          <w:rFonts w:ascii="Times New Roman" w:hAnsi="Times New Roman" w:cs="Times New Roman"/>
          <w:spacing w:val="-72"/>
          <w:w w:val="105"/>
          <w:kern w:val="0"/>
          <w:szCs w:val="24"/>
        </w:rPr>
        <w:t xml:space="preserve"> </w:t>
      </w:r>
      <w:r>
        <w:rPr>
          <w:rFonts w:ascii="Times New Roman" w:hAnsi="Times New Roman" w:cs="Times New Roman"/>
          <w:spacing w:val="2"/>
          <w:w w:val="105"/>
          <w:kern w:val="0"/>
          <w:szCs w:val="24"/>
        </w:rPr>
        <w:t>N-甲基吡咯烷酮、碳酸丙烯酯、碳酸二甲</w:t>
      </w:r>
      <w:r>
        <w:rPr>
          <w:rFonts w:ascii="Times New Roman" w:hAnsi="Times New Roman" w:cs="Times New Roman"/>
          <w:w w:val="105"/>
          <w:kern w:val="0"/>
          <w:szCs w:val="24"/>
        </w:rPr>
        <w:t>酯及碳酸二乙酯等，判别结果见表1.2-3。</w:t>
      </w:r>
    </w:p>
    <w:p>
      <w:pPr>
        <w:tabs>
          <w:tab w:val="left" w:pos="4358"/>
        </w:tabs>
        <w:kinsoku w:val="0"/>
        <w:overflowPunct w:val="0"/>
        <w:autoSpaceDE w:val="0"/>
        <w:autoSpaceDN w:val="0"/>
        <w:adjustRightInd w:val="0"/>
        <w:ind w:firstLine="503"/>
        <w:jc w:val="center"/>
        <w:outlineLvl w:val="8"/>
        <w:rPr>
          <w:rFonts w:ascii="Times New Roman" w:hAnsi="Times New Roman" w:eastAsia="黑体" w:cs="Times New Roman"/>
          <w:spacing w:val="4"/>
          <w:kern w:val="0"/>
          <w:szCs w:val="24"/>
        </w:rPr>
      </w:pPr>
      <w:r>
        <w:rPr>
          <w:rFonts w:ascii="Times New Roman" w:hAnsi="Times New Roman" w:eastAsia="黑体" w:cs="Times New Roman"/>
          <w:bCs/>
          <w:w w:val="105"/>
          <w:kern w:val="0"/>
          <w:szCs w:val="24"/>
        </w:rPr>
        <w:t xml:space="preserve">表1.2-2 </w:t>
      </w:r>
      <w:r>
        <w:rPr>
          <w:rFonts w:ascii="Times New Roman" w:hAnsi="Times New Roman" w:eastAsia="黑体" w:cs="Times New Roman"/>
          <w:bCs/>
          <w:spacing w:val="4"/>
          <w:w w:val="105"/>
          <w:kern w:val="0"/>
          <w:szCs w:val="24"/>
        </w:rPr>
        <w:t>物质危险性标准</w:t>
      </w:r>
    </w:p>
    <w:p>
      <w:pPr>
        <w:kinsoku w:val="0"/>
        <w:overflowPunct w:val="0"/>
        <w:autoSpaceDE w:val="0"/>
        <w:autoSpaceDN w:val="0"/>
        <w:adjustRightInd w:val="0"/>
        <w:spacing w:before="3"/>
        <w:ind w:firstLine="40"/>
        <w:jc w:val="left"/>
        <w:rPr>
          <w:rFonts w:ascii="Times New Roman" w:hAnsi="Times New Roman" w:cs="Times New Roman"/>
          <w:bCs/>
          <w:kern w:val="0"/>
          <w:sz w:val="2"/>
          <w:szCs w:val="2"/>
        </w:rPr>
      </w:pPr>
    </w:p>
    <w:tbl>
      <w:tblPr>
        <w:tblStyle w:val="11"/>
        <w:tblW w:w="8539" w:type="dxa"/>
        <w:tblInd w:w="103" w:type="dxa"/>
        <w:tblLayout w:type="fixed"/>
        <w:tblCellMar>
          <w:top w:w="0" w:type="dxa"/>
          <w:left w:w="0" w:type="dxa"/>
          <w:bottom w:w="0" w:type="dxa"/>
          <w:right w:w="0" w:type="dxa"/>
        </w:tblCellMar>
      </w:tblPr>
      <w:tblGrid>
        <w:gridCol w:w="781"/>
        <w:gridCol w:w="548"/>
        <w:gridCol w:w="2188"/>
        <w:gridCol w:w="2189"/>
        <w:gridCol w:w="2833"/>
      </w:tblGrid>
      <w:tr>
        <w:tblPrEx>
          <w:tblLayout w:type="fixed"/>
          <w:tblCellMar>
            <w:top w:w="0" w:type="dxa"/>
            <w:left w:w="0" w:type="dxa"/>
            <w:bottom w:w="0" w:type="dxa"/>
            <w:right w:w="0" w:type="dxa"/>
          </w:tblCellMar>
        </w:tblPrEx>
        <w:trPr>
          <w:trHeight w:val="558" w:hRule="exact"/>
        </w:trPr>
        <w:tc>
          <w:tcPr>
            <w:tcW w:w="781" w:type="dxa"/>
            <w:tcBorders>
              <w:top w:val="single" w:color="000000" w:sz="10" w:space="0"/>
              <w:left w:val="nil"/>
              <w:bottom w:val="single" w:color="000000" w:sz="2" w:space="0"/>
              <w:right w:val="single" w:color="000000" w:sz="2" w:space="0"/>
            </w:tcBorders>
          </w:tcPr>
          <w:p>
            <w:pPr>
              <w:spacing w:line="24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物质</w:t>
            </w:r>
          </w:p>
          <w:p>
            <w:pPr>
              <w:spacing w:line="24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类别</w:t>
            </w:r>
          </w:p>
        </w:tc>
        <w:tc>
          <w:tcPr>
            <w:tcW w:w="548" w:type="dxa"/>
            <w:tcBorders>
              <w:top w:val="single" w:color="000000" w:sz="10" w:space="0"/>
              <w:left w:val="single" w:color="000000" w:sz="2" w:space="0"/>
              <w:bottom w:val="single" w:color="000000" w:sz="2" w:space="0"/>
              <w:right w:val="single" w:color="000000" w:sz="2" w:space="0"/>
            </w:tcBorders>
          </w:tcPr>
          <w:p>
            <w:pPr>
              <w:spacing w:line="24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等</w:t>
            </w:r>
          </w:p>
          <w:p>
            <w:pPr>
              <w:spacing w:line="24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级</w:t>
            </w:r>
          </w:p>
        </w:tc>
        <w:tc>
          <w:tcPr>
            <w:tcW w:w="2188" w:type="dxa"/>
            <w:tcBorders>
              <w:top w:val="single" w:color="000000" w:sz="10" w:space="0"/>
              <w:left w:val="single" w:color="000000" w:sz="2" w:space="0"/>
              <w:bottom w:val="single" w:color="000000" w:sz="2" w:space="0"/>
              <w:right w:val="single" w:color="000000" w:sz="2" w:space="0"/>
            </w:tcBorders>
          </w:tcPr>
          <w:p>
            <w:pPr>
              <w:spacing w:line="24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LD50（大鼠经口）</w:t>
            </w:r>
          </w:p>
          <w:p>
            <w:pPr>
              <w:spacing w:line="24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（mg/kg）</w:t>
            </w:r>
          </w:p>
        </w:tc>
        <w:tc>
          <w:tcPr>
            <w:tcW w:w="2189" w:type="dxa"/>
            <w:tcBorders>
              <w:top w:val="single" w:color="000000" w:sz="10" w:space="0"/>
              <w:left w:val="single" w:color="000000" w:sz="2" w:space="0"/>
              <w:bottom w:val="single" w:color="000000" w:sz="2" w:space="0"/>
              <w:right w:val="single" w:color="000000" w:sz="2" w:space="0"/>
            </w:tcBorders>
          </w:tcPr>
          <w:p>
            <w:pPr>
              <w:spacing w:line="24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LD50（大鼠经皮）</w:t>
            </w:r>
          </w:p>
          <w:p>
            <w:pPr>
              <w:spacing w:line="24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（mg/kg）</w:t>
            </w:r>
          </w:p>
        </w:tc>
        <w:tc>
          <w:tcPr>
            <w:tcW w:w="2833" w:type="dxa"/>
            <w:tcBorders>
              <w:top w:val="single" w:color="000000" w:sz="10" w:space="0"/>
              <w:left w:val="single" w:color="000000" w:sz="2" w:space="0"/>
              <w:bottom w:val="single" w:color="000000" w:sz="2" w:space="0"/>
              <w:right w:val="nil"/>
            </w:tcBorders>
          </w:tcPr>
          <w:p>
            <w:pPr>
              <w:spacing w:line="24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LC50（小鼠吸入，4 小时）</w:t>
            </w:r>
          </w:p>
          <w:p>
            <w:pPr>
              <w:spacing w:line="24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（mg/L）</w:t>
            </w:r>
          </w:p>
        </w:tc>
      </w:tr>
      <w:tr>
        <w:tblPrEx>
          <w:tblLayout w:type="fixed"/>
          <w:tblCellMar>
            <w:top w:w="0" w:type="dxa"/>
            <w:left w:w="0" w:type="dxa"/>
            <w:bottom w:w="0" w:type="dxa"/>
            <w:right w:w="0" w:type="dxa"/>
          </w:tblCellMar>
        </w:tblPrEx>
        <w:trPr>
          <w:trHeight w:val="252" w:hRule="exact"/>
        </w:trPr>
        <w:tc>
          <w:tcPr>
            <w:tcW w:w="781" w:type="dxa"/>
            <w:vMerge w:val="restart"/>
            <w:tcBorders>
              <w:top w:val="single" w:color="000000" w:sz="2" w:space="0"/>
              <w:left w:val="nil"/>
              <w:bottom w:val="single" w:color="000000" w:sz="2" w:space="0"/>
              <w:right w:val="single" w:color="000000" w:sz="2" w:space="0"/>
            </w:tcBorders>
          </w:tcPr>
          <w:p>
            <w:pPr>
              <w:spacing w:line="24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有毒 物质</w:t>
            </w:r>
          </w:p>
        </w:tc>
        <w:tc>
          <w:tcPr>
            <w:tcW w:w="548" w:type="dxa"/>
            <w:tcBorders>
              <w:top w:val="single" w:color="000000" w:sz="2" w:space="0"/>
              <w:left w:val="single" w:color="000000" w:sz="2" w:space="0"/>
              <w:bottom w:val="single" w:color="000000" w:sz="2" w:space="0"/>
              <w:right w:val="single" w:color="000000" w:sz="2" w:space="0"/>
            </w:tcBorders>
          </w:tcPr>
          <w:p>
            <w:pPr>
              <w:spacing w:line="24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1</w:t>
            </w:r>
          </w:p>
        </w:tc>
        <w:tc>
          <w:tcPr>
            <w:tcW w:w="2188" w:type="dxa"/>
            <w:tcBorders>
              <w:top w:val="single" w:color="000000" w:sz="2" w:space="0"/>
              <w:left w:val="single" w:color="000000" w:sz="2" w:space="0"/>
              <w:bottom w:val="single" w:color="000000" w:sz="2" w:space="0"/>
              <w:right w:val="single" w:color="000000" w:sz="2" w:space="0"/>
            </w:tcBorders>
          </w:tcPr>
          <w:p>
            <w:pPr>
              <w:spacing w:line="24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&lt;5</w:t>
            </w:r>
          </w:p>
        </w:tc>
        <w:tc>
          <w:tcPr>
            <w:tcW w:w="2189" w:type="dxa"/>
            <w:tcBorders>
              <w:top w:val="single" w:color="000000" w:sz="2" w:space="0"/>
              <w:left w:val="single" w:color="000000" w:sz="2" w:space="0"/>
              <w:bottom w:val="single" w:color="000000" w:sz="2" w:space="0"/>
              <w:right w:val="single" w:color="000000" w:sz="2" w:space="0"/>
            </w:tcBorders>
          </w:tcPr>
          <w:p>
            <w:pPr>
              <w:spacing w:line="24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&lt;1</w:t>
            </w:r>
          </w:p>
        </w:tc>
        <w:tc>
          <w:tcPr>
            <w:tcW w:w="2833" w:type="dxa"/>
            <w:tcBorders>
              <w:top w:val="single" w:color="000000" w:sz="2" w:space="0"/>
              <w:left w:val="single" w:color="000000" w:sz="2" w:space="0"/>
              <w:bottom w:val="single" w:color="000000" w:sz="2" w:space="0"/>
              <w:right w:val="nil"/>
            </w:tcBorders>
          </w:tcPr>
          <w:p>
            <w:pPr>
              <w:spacing w:line="24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&lt;0.01</w:t>
            </w:r>
          </w:p>
        </w:tc>
      </w:tr>
      <w:tr>
        <w:tblPrEx>
          <w:tblLayout w:type="fixed"/>
          <w:tblCellMar>
            <w:top w:w="0" w:type="dxa"/>
            <w:left w:w="0" w:type="dxa"/>
            <w:bottom w:w="0" w:type="dxa"/>
            <w:right w:w="0" w:type="dxa"/>
          </w:tblCellMar>
        </w:tblPrEx>
        <w:trPr>
          <w:trHeight w:val="252" w:hRule="exact"/>
        </w:trPr>
        <w:tc>
          <w:tcPr>
            <w:tcW w:w="781" w:type="dxa"/>
            <w:vMerge w:val="continue"/>
            <w:tcBorders>
              <w:top w:val="single" w:color="000000" w:sz="2" w:space="0"/>
              <w:left w:val="nil"/>
              <w:bottom w:val="single" w:color="000000" w:sz="2" w:space="0"/>
              <w:right w:val="single" w:color="000000" w:sz="2" w:space="0"/>
            </w:tcBorders>
          </w:tcPr>
          <w:p>
            <w:pPr>
              <w:spacing w:line="240" w:lineRule="exact"/>
              <w:ind w:firstLine="0" w:firstLineChars="0"/>
              <w:jc w:val="center"/>
              <w:rPr>
                <w:rFonts w:ascii="Times New Roman" w:hAnsi="Times New Roman" w:cs="Times New Roman"/>
                <w:sz w:val="21"/>
                <w:szCs w:val="21"/>
              </w:rPr>
            </w:pPr>
          </w:p>
        </w:tc>
        <w:tc>
          <w:tcPr>
            <w:tcW w:w="548" w:type="dxa"/>
            <w:tcBorders>
              <w:top w:val="single" w:color="000000" w:sz="2" w:space="0"/>
              <w:left w:val="single" w:color="000000" w:sz="2" w:space="0"/>
              <w:bottom w:val="single" w:color="000000" w:sz="2" w:space="0"/>
              <w:right w:val="single" w:color="000000" w:sz="2" w:space="0"/>
            </w:tcBorders>
          </w:tcPr>
          <w:p>
            <w:pPr>
              <w:spacing w:line="240" w:lineRule="exact"/>
              <w:ind w:right="1" w:firstLine="0" w:firstLineChars="0"/>
              <w:jc w:val="center"/>
              <w:rPr>
                <w:rFonts w:ascii="Times New Roman" w:hAnsi="Times New Roman" w:cs="Times New Roman"/>
                <w:sz w:val="21"/>
                <w:szCs w:val="21"/>
              </w:rPr>
            </w:pPr>
            <w:r>
              <w:rPr>
                <w:rFonts w:ascii="Times New Roman" w:hAnsi="Times New Roman" w:cs="Times New Roman"/>
                <w:sz w:val="21"/>
                <w:szCs w:val="21"/>
              </w:rPr>
              <w:t>2</w:t>
            </w:r>
          </w:p>
        </w:tc>
        <w:tc>
          <w:tcPr>
            <w:tcW w:w="2188" w:type="dxa"/>
            <w:tcBorders>
              <w:top w:val="single" w:color="000000" w:sz="2" w:space="0"/>
              <w:left w:val="single" w:color="000000" w:sz="2" w:space="0"/>
              <w:bottom w:val="single" w:color="000000" w:sz="2" w:space="0"/>
              <w:right w:val="single" w:color="000000" w:sz="2" w:space="0"/>
            </w:tcBorders>
          </w:tcPr>
          <w:p>
            <w:pPr>
              <w:spacing w:line="245"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5&lt;LD50&lt;25</w:t>
            </w:r>
          </w:p>
        </w:tc>
        <w:tc>
          <w:tcPr>
            <w:tcW w:w="2189" w:type="dxa"/>
            <w:tcBorders>
              <w:top w:val="single" w:color="000000" w:sz="2" w:space="0"/>
              <w:left w:val="single" w:color="000000" w:sz="2" w:space="0"/>
              <w:bottom w:val="single" w:color="000000" w:sz="2" w:space="0"/>
              <w:right w:val="single" w:color="000000" w:sz="2" w:space="0"/>
            </w:tcBorders>
          </w:tcPr>
          <w:p>
            <w:pPr>
              <w:spacing w:line="245"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10&lt;LD50&lt;50</w:t>
            </w:r>
          </w:p>
        </w:tc>
        <w:tc>
          <w:tcPr>
            <w:tcW w:w="2833" w:type="dxa"/>
            <w:tcBorders>
              <w:top w:val="single" w:color="000000" w:sz="2" w:space="0"/>
              <w:left w:val="single" w:color="000000" w:sz="2" w:space="0"/>
              <w:bottom w:val="single" w:color="000000" w:sz="2" w:space="0"/>
              <w:right w:val="nil"/>
            </w:tcBorders>
          </w:tcPr>
          <w:p>
            <w:pPr>
              <w:spacing w:line="245"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0.1&lt;LC50&lt;0.5</w:t>
            </w:r>
          </w:p>
        </w:tc>
      </w:tr>
      <w:tr>
        <w:tblPrEx>
          <w:tblLayout w:type="fixed"/>
          <w:tblCellMar>
            <w:top w:w="0" w:type="dxa"/>
            <w:left w:w="0" w:type="dxa"/>
            <w:bottom w:w="0" w:type="dxa"/>
            <w:right w:w="0" w:type="dxa"/>
          </w:tblCellMar>
        </w:tblPrEx>
        <w:trPr>
          <w:trHeight w:val="252" w:hRule="exact"/>
        </w:trPr>
        <w:tc>
          <w:tcPr>
            <w:tcW w:w="781" w:type="dxa"/>
            <w:vMerge w:val="continue"/>
            <w:tcBorders>
              <w:top w:val="single" w:color="000000" w:sz="2" w:space="0"/>
              <w:left w:val="nil"/>
              <w:bottom w:val="single" w:color="000000" w:sz="2" w:space="0"/>
              <w:right w:val="single" w:color="000000" w:sz="2" w:space="0"/>
            </w:tcBorders>
          </w:tcPr>
          <w:p>
            <w:pPr>
              <w:spacing w:line="240" w:lineRule="exact"/>
              <w:ind w:firstLine="0" w:firstLineChars="0"/>
              <w:jc w:val="center"/>
              <w:rPr>
                <w:rFonts w:ascii="Times New Roman" w:hAnsi="Times New Roman" w:cs="Times New Roman"/>
                <w:sz w:val="21"/>
                <w:szCs w:val="21"/>
              </w:rPr>
            </w:pPr>
          </w:p>
        </w:tc>
        <w:tc>
          <w:tcPr>
            <w:tcW w:w="548" w:type="dxa"/>
            <w:tcBorders>
              <w:top w:val="single" w:color="000000" w:sz="2" w:space="0"/>
              <w:left w:val="single" w:color="000000" w:sz="2" w:space="0"/>
              <w:bottom w:val="single" w:color="000000" w:sz="2" w:space="0"/>
              <w:right w:val="single" w:color="000000" w:sz="2" w:space="0"/>
            </w:tcBorders>
          </w:tcPr>
          <w:p>
            <w:pPr>
              <w:spacing w:line="240" w:lineRule="exact"/>
              <w:ind w:right="1" w:firstLine="0" w:firstLineChars="0"/>
              <w:jc w:val="center"/>
              <w:rPr>
                <w:rFonts w:ascii="Times New Roman" w:hAnsi="Times New Roman" w:cs="Times New Roman"/>
                <w:sz w:val="21"/>
                <w:szCs w:val="21"/>
              </w:rPr>
            </w:pPr>
            <w:r>
              <w:rPr>
                <w:rFonts w:ascii="Times New Roman" w:hAnsi="Times New Roman" w:cs="Times New Roman"/>
                <w:sz w:val="21"/>
                <w:szCs w:val="21"/>
              </w:rPr>
              <w:t>3</w:t>
            </w:r>
          </w:p>
        </w:tc>
        <w:tc>
          <w:tcPr>
            <w:tcW w:w="2188" w:type="dxa"/>
            <w:tcBorders>
              <w:top w:val="single" w:color="000000" w:sz="2" w:space="0"/>
              <w:left w:val="single" w:color="000000" w:sz="2" w:space="0"/>
              <w:bottom w:val="single" w:color="000000" w:sz="2" w:space="0"/>
              <w:right w:val="single" w:color="000000" w:sz="2" w:space="0"/>
            </w:tcBorders>
          </w:tcPr>
          <w:p>
            <w:pPr>
              <w:spacing w:line="24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25&lt;LD50&lt;200</w:t>
            </w:r>
          </w:p>
        </w:tc>
        <w:tc>
          <w:tcPr>
            <w:tcW w:w="2189" w:type="dxa"/>
            <w:tcBorders>
              <w:top w:val="single" w:color="000000" w:sz="2" w:space="0"/>
              <w:left w:val="single" w:color="000000" w:sz="2" w:space="0"/>
              <w:bottom w:val="single" w:color="000000" w:sz="2" w:space="0"/>
              <w:right w:val="single" w:color="000000" w:sz="2" w:space="0"/>
            </w:tcBorders>
          </w:tcPr>
          <w:p>
            <w:pPr>
              <w:spacing w:line="24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50&lt;LD50&lt;400</w:t>
            </w:r>
          </w:p>
        </w:tc>
        <w:tc>
          <w:tcPr>
            <w:tcW w:w="2833" w:type="dxa"/>
            <w:tcBorders>
              <w:top w:val="single" w:color="000000" w:sz="2" w:space="0"/>
              <w:left w:val="single" w:color="000000" w:sz="2" w:space="0"/>
              <w:bottom w:val="single" w:color="000000" w:sz="2" w:space="0"/>
              <w:right w:val="nil"/>
            </w:tcBorders>
          </w:tcPr>
          <w:p>
            <w:pPr>
              <w:spacing w:line="24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0.5&lt;LC50&lt;2</w:t>
            </w:r>
          </w:p>
        </w:tc>
      </w:tr>
      <w:tr>
        <w:tblPrEx>
          <w:tblLayout w:type="fixed"/>
          <w:tblCellMar>
            <w:top w:w="0" w:type="dxa"/>
            <w:left w:w="0" w:type="dxa"/>
            <w:bottom w:w="0" w:type="dxa"/>
            <w:right w:w="0" w:type="dxa"/>
          </w:tblCellMar>
        </w:tblPrEx>
        <w:trPr>
          <w:trHeight w:val="554" w:hRule="exact"/>
        </w:trPr>
        <w:tc>
          <w:tcPr>
            <w:tcW w:w="781" w:type="dxa"/>
            <w:vMerge w:val="restart"/>
            <w:tcBorders>
              <w:top w:val="single" w:color="000000" w:sz="2" w:space="0"/>
              <w:left w:val="nil"/>
              <w:bottom w:val="single" w:color="000000" w:sz="2" w:space="0"/>
              <w:right w:val="single" w:color="000000" w:sz="2" w:space="0"/>
            </w:tcBorders>
          </w:tcPr>
          <w:p>
            <w:pPr>
              <w:spacing w:line="240" w:lineRule="exact"/>
              <w:ind w:firstLine="0" w:firstLineChars="0"/>
              <w:jc w:val="center"/>
              <w:rPr>
                <w:rFonts w:ascii="Times New Roman" w:hAnsi="Times New Roman" w:cs="Times New Roman"/>
                <w:sz w:val="21"/>
                <w:szCs w:val="21"/>
              </w:rPr>
            </w:pPr>
          </w:p>
          <w:p>
            <w:pPr>
              <w:spacing w:line="240" w:lineRule="exact"/>
              <w:ind w:left="187" w:right="170" w:firstLine="0" w:firstLineChars="0"/>
              <w:jc w:val="center"/>
              <w:rPr>
                <w:rFonts w:ascii="Times New Roman" w:hAnsi="Times New Roman" w:cs="Times New Roman"/>
                <w:sz w:val="21"/>
                <w:szCs w:val="21"/>
              </w:rPr>
            </w:pPr>
            <w:r>
              <w:rPr>
                <w:rFonts w:ascii="Times New Roman" w:hAnsi="Times New Roman" w:cs="Times New Roman"/>
                <w:sz w:val="21"/>
                <w:szCs w:val="21"/>
              </w:rPr>
              <w:t>易燃 物质</w:t>
            </w:r>
          </w:p>
        </w:tc>
        <w:tc>
          <w:tcPr>
            <w:tcW w:w="548" w:type="dxa"/>
            <w:tcBorders>
              <w:top w:val="single" w:color="000000" w:sz="2" w:space="0"/>
              <w:left w:val="single" w:color="000000" w:sz="2" w:space="0"/>
              <w:bottom w:val="single" w:color="000000" w:sz="2" w:space="0"/>
              <w:right w:val="single" w:color="000000" w:sz="2" w:space="0"/>
            </w:tcBorders>
          </w:tcPr>
          <w:p>
            <w:pPr>
              <w:spacing w:line="240" w:lineRule="exact"/>
              <w:ind w:right="1" w:firstLine="0" w:firstLineChars="0"/>
              <w:jc w:val="center"/>
              <w:rPr>
                <w:rFonts w:ascii="Times New Roman" w:hAnsi="Times New Roman" w:cs="Times New Roman"/>
                <w:sz w:val="21"/>
                <w:szCs w:val="21"/>
              </w:rPr>
            </w:pPr>
            <w:r>
              <w:rPr>
                <w:rFonts w:ascii="Times New Roman" w:hAnsi="Times New Roman" w:cs="Times New Roman"/>
                <w:sz w:val="21"/>
                <w:szCs w:val="21"/>
              </w:rPr>
              <w:t>1</w:t>
            </w:r>
          </w:p>
        </w:tc>
        <w:tc>
          <w:tcPr>
            <w:tcW w:w="7210" w:type="dxa"/>
            <w:gridSpan w:val="3"/>
            <w:tcBorders>
              <w:top w:val="single" w:color="000000" w:sz="2" w:space="0"/>
              <w:left w:val="single" w:color="000000" w:sz="2" w:space="0"/>
              <w:bottom w:val="single" w:color="000000" w:sz="2" w:space="0"/>
              <w:right w:val="nil"/>
            </w:tcBorders>
          </w:tcPr>
          <w:p>
            <w:pPr>
              <w:spacing w:line="240" w:lineRule="exact"/>
              <w:ind w:left="2131" w:right="113" w:firstLine="0" w:firstLineChars="0"/>
              <w:jc w:val="center"/>
              <w:rPr>
                <w:rFonts w:ascii="Times New Roman" w:hAnsi="Times New Roman" w:cs="Times New Roman"/>
                <w:sz w:val="21"/>
                <w:szCs w:val="21"/>
              </w:rPr>
            </w:pPr>
            <w:r>
              <w:rPr>
                <w:rFonts w:ascii="Times New Roman" w:hAnsi="Times New Roman" w:cs="Times New Roman"/>
                <w:sz w:val="21"/>
                <w:szCs w:val="21"/>
              </w:rPr>
              <w:t>可燃气体－在常压下以气态存在并与空气混合形成可燃混合物；其沸点（常 压下）是 20℃或 20℃以下的物质</w:t>
            </w:r>
          </w:p>
        </w:tc>
      </w:tr>
      <w:tr>
        <w:tblPrEx>
          <w:tblLayout w:type="fixed"/>
          <w:tblCellMar>
            <w:top w:w="0" w:type="dxa"/>
            <w:left w:w="0" w:type="dxa"/>
            <w:bottom w:w="0" w:type="dxa"/>
            <w:right w:w="0" w:type="dxa"/>
          </w:tblCellMar>
        </w:tblPrEx>
        <w:trPr>
          <w:trHeight w:val="288" w:hRule="exact"/>
        </w:trPr>
        <w:tc>
          <w:tcPr>
            <w:tcW w:w="781" w:type="dxa"/>
            <w:vMerge w:val="continue"/>
            <w:tcBorders>
              <w:top w:val="single" w:color="000000" w:sz="2" w:space="0"/>
              <w:left w:val="nil"/>
              <w:bottom w:val="single" w:color="000000" w:sz="2" w:space="0"/>
              <w:right w:val="single" w:color="000000" w:sz="2" w:space="0"/>
            </w:tcBorders>
          </w:tcPr>
          <w:p>
            <w:pPr>
              <w:spacing w:line="240" w:lineRule="exact"/>
              <w:ind w:firstLine="0" w:firstLineChars="0"/>
              <w:jc w:val="center"/>
              <w:rPr>
                <w:rFonts w:ascii="Times New Roman" w:hAnsi="Times New Roman" w:cs="Times New Roman"/>
                <w:sz w:val="21"/>
                <w:szCs w:val="21"/>
              </w:rPr>
            </w:pPr>
          </w:p>
        </w:tc>
        <w:tc>
          <w:tcPr>
            <w:tcW w:w="548" w:type="dxa"/>
            <w:tcBorders>
              <w:top w:val="single" w:color="000000" w:sz="2" w:space="0"/>
              <w:left w:val="single" w:color="000000" w:sz="2" w:space="0"/>
              <w:bottom w:val="single" w:color="000000" w:sz="2" w:space="0"/>
              <w:right w:val="single" w:color="000000" w:sz="2" w:space="0"/>
            </w:tcBorders>
          </w:tcPr>
          <w:p>
            <w:pPr>
              <w:spacing w:line="24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2</w:t>
            </w:r>
          </w:p>
        </w:tc>
        <w:tc>
          <w:tcPr>
            <w:tcW w:w="7210" w:type="dxa"/>
            <w:gridSpan w:val="3"/>
            <w:tcBorders>
              <w:top w:val="single" w:color="000000" w:sz="2" w:space="0"/>
              <w:left w:val="single" w:color="000000" w:sz="2" w:space="0"/>
              <w:bottom w:val="single" w:color="000000" w:sz="2" w:space="0"/>
              <w:right w:val="nil"/>
            </w:tcBorders>
          </w:tcPr>
          <w:p>
            <w:pPr>
              <w:spacing w:line="24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易燃液体－闪点低于 21℃，沸点高于 20℃的物质</w:t>
            </w:r>
          </w:p>
        </w:tc>
      </w:tr>
      <w:tr>
        <w:tblPrEx>
          <w:tblLayout w:type="fixed"/>
          <w:tblCellMar>
            <w:top w:w="0" w:type="dxa"/>
            <w:left w:w="0" w:type="dxa"/>
            <w:bottom w:w="0" w:type="dxa"/>
            <w:right w:w="0" w:type="dxa"/>
          </w:tblCellMar>
        </w:tblPrEx>
        <w:trPr>
          <w:trHeight w:val="554" w:hRule="exact"/>
        </w:trPr>
        <w:tc>
          <w:tcPr>
            <w:tcW w:w="781" w:type="dxa"/>
            <w:vMerge w:val="continue"/>
            <w:tcBorders>
              <w:top w:val="single" w:color="000000" w:sz="2" w:space="0"/>
              <w:left w:val="nil"/>
              <w:bottom w:val="single" w:color="000000" w:sz="2" w:space="0"/>
              <w:right w:val="single" w:color="000000" w:sz="2" w:space="0"/>
            </w:tcBorders>
          </w:tcPr>
          <w:p>
            <w:pPr>
              <w:spacing w:line="240" w:lineRule="exact"/>
              <w:ind w:firstLine="0" w:firstLineChars="0"/>
              <w:jc w:val="center"/>
              <w:rPr>
                <w:rFonts w:ascii="Times New Roman" w:hAnsi="Times New Roman" w:cs="Times New Roman"/>
                <w:sz w:val="21"/>
                <w:szCs w:val="21"/>
              </w:rPr>
            </w:pPr>
          </w:p>
        </w:tc>
        <w:tc>
          <w:tcPr>
            <w:tcW w:w="548" w:type="dxa"/>
            <w:tcBorders>
              <w:top w:val="single" w:color="000000" w:sz="2" w:space="0"/>
              <w:left w:val="single" w:color="000000" w:sz="2" w:space="0"/>
              <w:bottom w:val="single" w:color="000000" w:sz="2" w:space="0"/>
              <w:right w:val="single" w:color="000000" w:sz="2" w:space="0"/>
            </w:tcBorders>
          </w:tcPr>
          <w:p>
            <w:pPr>
              <w:spacing w:before="142" w:line="240" w:lineRule="exact"/>
              <w:ind w:right="1" w:firstLine="0" w:firstLineChars="0"/>
              <w:jc w:val="center"/>
              <w:rPr>
                <w:rFonts w:ascii="Times New Roman" w:hAnsi="Times New Roman" w:cs="Times New Roman"/>
                <w:sz w:val="21"/>
                <w:szCs w:val="21"/>
              </w:rPr>
            </w:pPr>
            <w:r>
              <w:rPr>
                <w:rFonts w:ascii="Times New Roman" w:hAnsi="Times New Roman" w:cs="Times New Roman"/>
                <w:sz w:val="21"/>
                <w:szCs w:val="21"/>
              </w:rPr>
              <w:t>3</w:t>
            </w:r>
          </w:p>
        </w:tc>
        <w:tc>
          <w:tcPr>
            <w:tcW w:w="7210" w:type="dxa"/>
            <w:gridSpan w:val="3"/>
            <w:tcBorders>
              <w:top w:val="single" w:color="000000" w:sz="2" w:space="0"/>
              <w:left w:val="single" w:color="000000" w:sz="2" w:space="0"/>
              <w:bottom w:val="single" w:color="000000" w:sz="2" w:space="0"/>
              <w:right w:val="nil"/>
            </w:tcBorders>
          </w:tcPr>
          <w:p>
            <w:pPr>
              <w:spacing w:line="24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可燃液体－闪点低于 55℃，压力下保持液态，在实际操作条件下（如高温</w:t>
            </w:r>
          </w:p>
          <w:p>
            <w:pPr>
              <w:spacing w:line="24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高压）可以引起重大事故的物质</w:t>
            </w:r>
          </w:p>
        </w:tc>
      </w:tr>
      <w:tr>
        <w:tblPrEx>
          <w:tblLayout w:type="fixed"/>
          <w:tblCellMar>
            <w:top w:w="0" w:type="dxa"/>
            <w:left w:w="0" w:type="dxa"/>
            <w:bottom w:w="0" w:type="dxa"/>
            <w:right w:w="0" w:type="dxa"/>
          </w:tblCellMar>
        </w:tblPrEx>
        <w:trPr>
          <w:trHeight w:val="292" w:hRule="exact"/>
        </w:trPr>
        <w:tc>
          <w:tcPr>
            <w:tcW w:w="1329" w:type="dxa"/>
            <w:gridSpan w:val="2"/>
            <w:tcBorders>
              <w:top w:val="single" w:color="000000" w:sz="2" w:space="0"/>
              <w:left w:val="nil"/>
              <w:bottom w:val="single" w:color="000000" w:sz="10" w:space="0"/>
              <w:right w:val="single" w:color="000000" w:sz="2" w:space="0"/>
            </w:tcBorders>
          </w:tcPr>
          <w:p>
            <w:pPr>
              <w:spacing w:line="24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爆炸性物质</w:t>
            </w:r>
          </w:p>
        </w:tc>
        <w:tc>
          <w:tcPr>
            <w:tcW w:w="7210" w:type="dxa"/>
            <w:gridSpan w:val="3"/>
            <w:tcBorders>
              <w:top w:val="single" w:color="000000" w:sz="2" w:space="0"/>
              <w:left w:val="single" w:color="000000" w:sz="2" w:space="0"/>
              <w:bottom w:val="single" w:color="000000" w:sz="10" w:space="0"/>
              <w:right w:val="nil"/>
            </w:tcBorders>
          </w:tcPr>
          <w:p>
            <w:pPr>
              <w:spacing w:line="24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在火焰影响下可以爆炸，或者对冲击、摩擦比硝基苯更为敏感的物质</w:t>
            </w:r>
          </w:p>
        </w:tc>
      </w:tr>
    </w:tbl>
    <w:p>
      <w:pPr>
        <w:kinsoku w:val="0"/>
        <w:overflowPunct w:val="0"/>
        <w:autoSpaceDE w:val="0"/>
        <w:autoSpaceDN w:val="0"/>
        <w:adjustRightInd w:val="0"/>
        <w:spacing w:before="9"/>
        <w:ind w:firstLine="120"/>
        <w:jc w:val="left"/>
        <w:rPr>
          <w:rFonts w:ascii="Times New Roman" w:hAnsi="Times New Roman" w:cs="Times New Roman"/>
          <w:b/>
          <w:bCs/>
          <w:kern w:val="0"/>
          <w:sz w:val="6"/>
          <w:szCs w:val="6"/>
        </w:rPr>
      </w:pPr>
    </w:p>
    <w:p>
      <w:pPr>
        <w:kinsoku w:val="0"/>
        <w:overflowPunct w:val="0"/>
        <w:autoSpaceDE w:val="0"/>
        <w:autoSpaceDN w:val="0"/>
        <w:adjustRightInd w:val="0"/>
        <w:spacing w:line="240" w:lineRule="auto"/>
        <w:ind w:firstLine="402"/>
        <w:rPr>
          <w:rFonts w:ascii="Times New Roman" w:hAnsi="Times New Roman" w:cs="Times New Roman"/>
          <w:kern w:val="0"/>
          <w:sz w:val="21"/>
          <w:szCs w:val="21"/>
        </w:rPr>
      </w:pPr>
      <w:r>
        <w:rPr>
          <w:rFonts w:ascii="Times New Roman" w:hAnsi="Times New Roman" w:cs="Times New Roman"/>
          <w:b/>
          <w:bCs/>
          <w:spacing w:val="-5"/>
          <w:kern w:val="0"/>
          <w:sz w:val="21"/>
          <w:szCs w:val="21"/>
        </w:rPr>
        <w:t>备注：（1）有毒物质判定标准序号为</w:t>
      </w:r>
      <w:r>
        <w:rPr>
          <w:rFonts w:ascii="Times New Roman" w:hAnsi="Times New Roman" w:cs="Times New Roman"/>
          <w:b/>
          <w:bCs/>
          <w:spacing w:val="-66"/>
          <w:kern w:val="0"/>
          <w:sz w:val="21"/>
          <w:szCs w:val="21"/>
        </w:rPr>
        <w:t xml:space="preserve"> </w:t>
      </w:r>
      <w:r>
        <w:rPr>
          <w:rFonts w:ascii="Times New Roman" w:hAnsi="Times New Roman" w:cs="Times New Roman"/>
          <w:b/>
          <w:bCs/>
          <w:kern w:val="0"/>
          <w:sz w:val="21"/>
          <w:szCs w:val="21"/>
        </w:rPr>
        <w:t>1、2</w:t>
      </w:r>
      <w:r>
        <w:rPr>
          <w:rFonts w:ascii="Times New Roman" w:hAnsi="Times New Roman" w:cs="Times New Roman"/>
          <w:b/>
          <w:bCs/>
          <w:spacing w:val="-20"/>
          <w:kern w:val="0"/>
          <w:sz w:val="21"/>
          <w:szCs w:val="21"/>
        </w:rPr>
        <w:t xml:space="preserve"> </w:t>
      </w:r>
      <w:r>
        <w:rPr>
          <w:rFonts w:ascii="Times New Roman" w:hAnsi="Times New Roman" w:cs="Times New Roman"/>
          <w:b/>
          <w:bCs/>
          <w:kern w:val="0"/>
          <w:sz w:val="21"/>
          <w:szCs w:val="21"/>
        </w:rPr>
        <w:t>的物质属于剧毒物质；符合有毒物质判定标准序</w:t>
      </w:r>
      <w:r>
        <w:rPr>
          <w:rFonts w:ascii="Times New Roman" w:hAnsi="Times New Roman" w:cs="Times New Roman"/>
          <w:b/>
          <w:bCs/>
          <w:w w:val="99"/>
          <w:kern w:val="0"/>
          <w:sz w:val="21"/>
          <w:szCs w:val="21"/>
        </w:rPr>
        <w:t xml:space="preserve"> </w:t>
      </w:r>
      <w:r>
        <w:rPr>
          <w:rFonts w:ascii="Times New Roman" w:hAnsi="Times New Roman" w:cs="Times New Roman"/>
          <w:b/>
          <w:bCs/>
          <w:kern w:val="0"/>
          <w:sz w:val="21"/>
          <w:szCs w:val="21"/>
        </w:rPr>
        <w:t>号</w:t>
      </w:r>
      <w:r>
        <w:rPr>
          <w:rFonts w:ascii="Times New Roman" w:hAnsi="Times New Roman" w:cs="Times New Roman"/>
          <w:b/>
          <w:bCs/>
          <w:spacing w:val="-57"/>
          <w:kern w:val="0"/>
          <w:sz w:val="21"/>
          <w:szCs w:val="21"/>
        </w:rPr>
        <w:t xml:space="preserve"> </w:t>
      </w:r>
      <w:r>
        <w:rPr>
          <w:rFonts w:ascii="Times New Roman" w:hAnsi="Times New Roman" w:cs="Times New Roman"/>
          <w:b/>
          <w:bCs/>
          <w:kern w:val="0"/>
          <w:sz w:val="21"/>
          <w:szCs w:val="21"/>
        </w:rPr>
        <w:t>3</w:t>
      </w:r>
      <w:r>
        <w:rPr>
          <w:rFonts w:ascii="Times New Roman" w:hAnsi="Times New Roman" w:cs="Times New Roman"/>
          <w:b/>
          <w:bCs/>
          <w:spacing w:val="-6"/>
          <w:kern w:val="0"/>
          <w:sz w:val="21"/>
          <w:szCs w:val="21"/>
        </w:rPr>
        <w:t xml:space="preserve"> </w:t>
      </w:r>
      <w:r>
        <w:rPr>
          <w:rFonts w:ascii="Times New Roman" w:hAnsi="Times New Roman" w:cs="Times New Roman"/>
          <w:b/>
          <w:bCs/>
          <w:kern w:val="0"/>
          <w:sz w:val="21"/>
          <w:szCs w:val="21"/>
        </w:rPr>
        <w:t>的属于一般毒物。（2）凡符合表中易燃物质和爆炸性物质标准的物质，均视为火灾、</w:t>
      </w:r>
      <w:r>
        <w:rPr>
          <w:rFonts w:ascii="Times New Roman" w:hAnsi="Times New Roman" w:cs="Times New Roman"/>
          <w:b/>
          <w:bCs/>
          <w:w w:val="99"/>
          <w:kern w:val="0"/>
          <w:sz w:val="21"/>
          <w:szCs w:val="21"/>
        </w:rPr>
        <w:t xml:space="preserve"> </w:t>
      </w:r>
      <w:r>
        <w:rPr>
          <w:rFonts w:ascii="Times New Roman" w:hAnsi="Times New Roman" w:cs="Times New Roman"/>
          <w:b/>
          <w:bCs/>
          <w:kern w:val="0"/>
          <w:sz w:val="21"/>
          <w:szCs w:val="21"/>
        </w:rPr>
        <w:t>爆炸危险物质。</w:t>
      </w:r>
    </w:p>
    <w:p>
      <w:pPr>
        <w:kinsoku w:val="0"/>
        <w:overflowPunct w:val="0"/>
        <w:autoSpaceDE w:val="0"/>
        <w:autoSpaceDN w:val="0"/>
        <w:adjustRightInd w:val="0"/>
        <w:spacing w:before="11"/>
        <w:ind w:firstLine="181"/>
        <w:jc w:val="left"/>
        <w:rPr>
          <w:rFonts w:ascii="Times New Roman" w:hAnsi="Times New Roman" w:cs="Times New Roman"/>
          <w:b/>
          <w:bCs/>
          <w:kern w:val="0"/>
          <w:sz w:val="9"/>
          <w:szCs w:val="9"/>
        </w:rPr>
      </w:pPr>
    </w:p>
    <w:p>
      <w:pPr>
        <w:tabs>
          <w:tab w:val="left" w:pos="4358"/>
        </w:tabs>
        <w:kinsoku w:val="0"/>
        <w:overflowPunct w:val="0"/>
        <w:autoSpaceDE w:val="0"/>
        <w:autoSpaceDN w:val="0"/>
        <w:adjustRightInd w:val="0"/>
        <w:ind w:firstLine="503"/>
        <w:jc w:val="center"/>
        <w:outlineLvl w:val="8"/>
        <w:rPr>
          <w:rFonts w:ascii="Times New Roman" w:hAnsi="Times New Roman" w:eastAsia="黑体" w:cs="Times New Roman"/>
          <w:bCs/>
          <w:w w:val="105"/>
          <w:kern w:val="0"/>
          <w:szCs w:val="24"/>
        </w:rPr>
      </w:pPr>
      <w:r>
        <w:rPr>
          <w:rFonts w:ascii="Times New Roman" w:hAnsi="Times New Roman" w:eastAsia="黑体" w:cs="Times New Roman"/>
          <w:bCs/>
          <w:w w:val="105"/>
          <w:kern w:val="0"/>
          <w:szCs w:val="24"/>
        </w:rPr>
        <w:t>表1.2-3  项目存在环境风险物质危险性识别结果</w:t>
      </w:r>
    </w:p>
    <w:tbl>
      <w:tblPr>
        <w:tblStyle w:val="11"/>
        <w:tblW w:w="8763" w:type="dxa"/>
        <w:jc w:val="center"/>
        <w:tblInd w:w="0" w:type="dxa"/>
        <w:tblLayout w:type="fixed"/>
        <w:tblCellMar>
          <w:top w:w="0" w:type="dxa"/>
          <w:left w:w="0" w:type="dxa"/>
          <w:bottom w:w="0" w:type="dxa"/>
          <w:right w:w="0" w:type="dxa"/>
        </w:tblCellMar>
      </w:tblPr>
      <w:tblGrid>
        <w:gridCol w:w="15"/>
        <w:gridCol w:w="795"/>
        <w:gridCol w:w="2715"/>
        <w:gridCol w:w="5238"/>
      </w:tblGrid>
      <w:tr>
        <w:tblPrEx>
          <w:tblLayout w:type="fixed"/>
          <w:tblCellMar>
            <w:top w:w="0" w:type="dxa"/>
            <w:left w:w="0" w:type="dxa"/>
            <w:bottom w:w="0" w:type="dxa"/>
            <w:right w:w="0" w:type="dxa"/>
          </w:tblCellMar>
        </w:tblPrEx>
        <w:trPr>
          <w:trHeight w:val="340" w:hRule="exact"/>
          <w:jc w:val="center"/>
        </w:trPr>
        <w:tc>
          <w:tcPr>
            <w:tcW w:w="3525" w:type="dxa"/>
            <w:gridSpan w:val="3"/>
            <w:tcBorders>
              <w:top w:val="single" w:color="000000" w:sz="10" w:space="0"/>
              <w:left w:val="nil"/>
              <w:bottom w:val="single" w:color="000000" w:sz="2" w:space="0"/>
              <w:right w:val="single" w:color="000000" w:sz="2" w:space="0"/>
            </w:tcBorders>
            <w:tcMar>
              <w:top w:w="28" w:type="dxa"/>
              <w:left w:w="28" w:type="dxa"/>
              <w:bottom w:w="28" w:type="dxa"/>
              <w:right w:w="28" w:type="dxa"/>
            </w:tcMar>
            <w:vAlign w:val="center"/>
          </w:tcPr>
          <w:p>
            <w:pPr>
              <w:kinsoku w:val="0"/>
              <w:overflowPunct w:val="0"/>
              <w:autoSpaceDE w:val="0"/>
              <w:autoSpaceDN w:val="0"/>
              <w:adjustRightInd w:val="0"/>
              <w:spacing w:line="240" w:lineRule="exact"/>
              <w:ind w:firstLine="434"/>
              <w:jc w:val="center"/>
              <w:rPr>
                <w:rFonts w:ascii="Times New Roman" w:hAnsi="Times New Roman" w:cs="Times New Roman"/>
                <w:kern w:val="0"/>
                <w:sz w:val="21"/>
                <w:szCs w:val="21"/>
              </w:rPr>
            </w:pPr>
            <w:r>
              <w:rPr>
                <w:rFonts w:ascii="Times New Roman" w:hAnsi="Times New Roman" w:cs="Times New Roman"/>
                <w:b/>
                <w:bCs/>
                <w:spacing w:val="3"/>
                <w:kern w:val="0"/>
                <w:sz w:val="21"/>
                <w:szCs w:val="21"/>
              </w:rPr>
              <w:t>名称</w:t>
            </w:r>
          </w:p>
        </w:tc>
        <w:tc>
          <w:tcPr>
            <w:tcW w:w="5238" w:type="dxa"/>
            <w:tcBorders>
              <w:top w:val="single" w:color="000000" w:sz="10" w:space="0"/>
              <w:left w:val="single" w:color="000000" w:sz="2" w:space="0"/>
              <w:bottom w:val="single" w:color="000000" w:sz="2" w:space="0"/>
              <w:right w:val="nil"/>
            </w:tcBorders>
            <w:tcMar>
              <w:top w:w="28" w:type="dxa"/>
              <w:left w:w="28" w:type="dxa"/>
              <w:bottom w:w="28" w:type="dxa"/>
              <w:right w:w="28" w:type="dxa"/>
            </w:tcMar>
            <w:vAlign w:val="center"/>
          </w:tcPr>
          <w:p>
            <w:pPr>
              <w:kinsoku w:val="0"/>
              <w:overflowPunct w:val="0"/>
              <w:autoSpaceDE w:val="0"/>
              <w:autoSpaceDN w:val="0"/>
              <w:adjustRightInd w:val="0"/>
              <w:spacing w:line="240" w:lineRule="exact"/>
              <w:ind w:firstLine="422"/>
              <w:jc w:val="center"/>
              <w:rPr>
                <w:rFonts w:ascii="Times New Roman" w:hAnsi="Times New Roman" w:cs="Times New Roman"/>
                <w:kern w:val="0"/>
                <w:sz w:val="21"/>
                <w:szCs w:val="21"/>
              </w:rPr>
            </w:pPr>
            <w:r>
              <w:rPr>
                <w:rFonts w:ascii="Times New Roman" w:hAnsi="Times New Roman" w:cs="Times New Roman"/>
                <w:b/>
                <w:bCs/>
                <w:kern w:val="0"/>
                <w:sz w:val="21"/>
                <w:szCs w:val="21"/>
              </w:rPr>
              <w:t>物质危险性</w:t>
            </w:r>
          </w:p>
        </w:tc>
      </w:tr>
      <w:tr>
        <w:tblPrEx>
          <w:tblLayout w:type="fixed"/>
          <w:tblCellMar>
            <w:top w:w="0" w:type="dxa"/>
            <w:left w:w="0" w:type="dxa"/>
            <w:bottom w:w="0" w:type="dxa"/>
            <w:right w:w="0" w:type="dxa"/>
          </w:tblCellMar>
        </w:tblPrEx>
        <w:trPr>
          <w:trHeight w:val="340" w:hRule="exact"/>
          <w:jc w:val="center"/>
        </w:trPr>
        <w:tc>
          <w:tcPr>
            <w:tcW w:w="3525" w:type="dxa"/>
            <w:gridSpan w:val="3"/>
            <w:tcBorders>
              <w:top w:val="single" w:color="000000" w:sz="2" w:space="0"/>
              <w:left w:val="nil"/>
              <w:bottom w:val="single" w:color="000000" w:sz="2" w:space="0"/>
              <w:right w:val="single" w:color="000000" w:sz="2" w:space="0"/>
            </w:tcBorders>
            <w:tcMar>
              <w:top w:w="28" w:type="dxa"/>
              <w:left w:w="28" w:type="dxa"/>
              <w:bottom w:w="28" w:type="dxa"/>
              <w:right w:w="28" w:type="dxa"/>
            </w:tcMar>
            <w:vAlign w:val="center"/>
          </w:tcPr>
          <w:p>
            <w:pPr>
              <w:kinsoku w:val="0"/>
              <w:overflowPunct w:val="0"/>
              <w:autoSpaceDE w:val="0"/>
              <w:autoSpaceDN w:val="0"/>
              <w:adjustRightInd w:val="0"/>
              <w:spacing w:line="240" w:lineRule="exact"/>
              <w:ind w:firstLine="420"/>
              <w:jc w:val="center"/>
              <w:rPr>
                <w:rFonts w:ascii="Times New Roman" w:hAnsi="Times New Roman" w:cs="Times New Roman"/>
                <w:kern w:val="0"/>
                <w:sz w:val="21"/>
                <w:szCs w:val="21"/>
              </w:rPr>
            </w:pPr>
            <w:r>
              <w:rPr>
                <w:rFonts w:ascii="Times New Roman" w:hAnsi="Times New Roman" w:cs="Times New Roman"/>
                <w:kern w:val="0"/>
                <w:sz w:val="21"/>
                <w:szCs w:val="21"/>
              </w:rPr>
              <w:t>N-甲基吡咯烷酮</w:t>
            </w:r>
          </w:p>
        </w:tc>
        <w:tc>
          <w:tcPr>
            <w:tcW w:w="5238" w:type="dxa"/>
            <w:tcBorders>
              <w:top w:val="single" w:color="000000" w:sz="2" w:space="0"/>
              <w:left w:val="single" w:color="000000" w:sz="2" w:space="0"/>
              <w:bottom w:val="single" w:color="000000" w:sz="2" w:space="0"/>
              <w:right w:val="nil"/>
            </w:tcBorders>
            <w:tcMar>
              <w:top w:w="28" w:type="dxa"/>
              <w:left w:w="28" w:type="dxa"/>
              <w:bottom w:w="28" w:type="dxa"/>
              <w:right w:w="28" w:type="dxa"/>
            </w:tcMar>
            <w:vAlign w:val="center"/>
          </w:tcPr>
          <w:p>
            <w:pPr>
              <w:kinsoku w:val="0"/>
              <w:overflowPunct w:val="0"/>
              <w:autoSpaceDE w:val="0"/>
              <w:autoSpaceDN w:val="0"/>
              <w:adjustRightInd w:val="0"/>
              <w:spacing w:line="240" w:lineRule="exact"/>
              <w:ind w:firstLine="420"/>
              <w:jc w:val="center"/>
              <w:rPr>
                <w:rFonts w:ascii="Times New Roman" w:hAnsi="Times New Roman" w:cs="Times New Roman"/>
                <w:kern w:val="0"/>
                <w:sz w:val="21"/>
                <w:szCs w:val="21"/>
              </w:rPr>
            </w:pPr>
            <w:r>
              <w:rPr>
                <w:rFonts w:ascii="Times New Roman" w:hAnsi="Times New Roman" w:cs="Times New Roman"/>
                <w:kern w:val="0"/>
                <w:sz w:val="21"/>
                <w:szCs w:val="21"/>
              </w:rPr>
              <w:t>有毒物质</w:t>
            </w:r>
            <w:r>
              <w:rPr>
                <w:rFonts w:ascii="Times New Roman" w:hAnsi="Times New Roman" w:cs="Times New Roman"/>
                <w:spacing w:val="-52"/>
                <w:kern w:val="0"/>
                <w:sz w:val="21"/>
                <w:szCs w:val="21"/>
              </w:rPr>
              <w:t xml:space="preserve"> </w:t>
            </w:r>
            <w:r>
              <w:rPr>
                <w:rFonts w:ascii="Times New Roman" w:hAnsi="Times New Roman" w:cs="Times New Roman"/>
                <w:kern w:val="0"/>
                <w:sz w:val="21"/>
                <w:szCs w:val="21"/>
              </w:rPr>
              <w:t>3类以外、易燃物质</w:t>
            </w:r>
            <w:r>
              <w:rPr>
                <w:rFonts w:ascii="Times New Roman" w:hAnsi="Times New Roman" w:cs="Times New Roman"/>
                <w:spacing w:val="-52"/>
                <w:kern w:val="0"/>
                <w:sz w:val="21"/>
                <w:szCs w:val="21"/>
              </w:rPr>
              <w:t xml:space="preserve"> </w:t>
            </w:r>
            <w:r>
              <w:rPr>
                <w:rFonts w:ascii="Times New Roman" w:hAnsi="Times New Roman" w:cs="Times New Roman"/>
                <w:kern w:val="0"/>
                <w:sz w:val="21"/>
                <w:szCs w:val="21"/>
              </w:rPr>
              <w:t>3</w:t>
            </w:r>
            <w:r>
              <w:rPr>
                <w:rFonts w:ascii="Times New Roman" w:hAnsi="Times New Roman" w:cs="Times New Roman"/>
                <w:spacing w:val="2"/>
                <w:kern w:val="0"/>
                <w:sz w:val="21"/>
                <w:szCs w:val="21"/>
              </w:rPr>
              <w:t>类以外</w:t>
            </w:r>
          </w:p>
        </w:tc>
      </w:tr>
      <w:tr>
        <w:tblPrEx>
          <w:tblLayout w:type="fixed"/>
          <w:tblCellMar>
            <w:top w:w="0" w:type="dxa"/>
            <w:left w:w="0" w:type="dxa"/>
            <w:bottom w:w="0" w:type="dxa"/>
            <w:right w:w="0" w:type="dxa"/>
          </w:tblCellMar>
        </w:tblPrEx>
        <w:trPr>
          <w:trHeight w:val="340" w:hRule="exact"/>
          <w:jc w:val="center"/>
        </w:trPr>
        <w:tc>
          <w:tcPr>
            <w:tcW w:w="3525" w:type="dxa"/>
            <w:gridSpan w:val="3"/>
            <w:tcBorders>
              <w:top w:val="single" w:color="000000" w:sz="2" w:space="0"/>
              <w:left w:val="nil"/>
              <w:bottom w:val="single" w:color="000000" w:sz="10" w:space="0"/>
              <w:right w:val="single" w:color="000000" w:sz="2" w:space="0"/>
            </w:tcBorders>
            <w:tcMar>
              <w:top w:w="28" w:type="dxa"/>
              <w:left w:w="28" w:type="dxa"/>
              <w:bottom w:w="28" w:type="dxa"/>
              <w:right w:w="28" w:type="dxa"/>
            </w:tcMar>
            <w:vAlign w:val="center"/>
          </w:tcPr>
          <w:p>
            <w:pPr>
              <w:kinsoku w:val="0"/>
              <w:overflowPunct w:val="0"/>
              <w:autoSpaceDE w:val="0"/>
              <w:autoSpaceDN w:val="0"/>
              <w:adjustRightInd w:val="0"/>
              <w:spacing w:line="240" w:lineRule="exact"/>
              <w:ind w:firstLine="420"/>
              <w:jc w:val="center"/>
              <w:rPr>
                <w:rFonts w:ascii="Times New Roman" w:hAnsi="Times New Roman" w:cs="Times New Roman"/>
                <w:kern w:val="0"/>
                <w:sz w:val="21"/>
                <w:szCs w:val="21"/>
              </w:rPr>
            </w:pPr>
            <w:r>
              <w:rPr>
                <w:rFonts w:ascii="Times New Roman" w:hAnsi="Times New Roman" w:cs="Times New Roman"/>
                <w:kern w:val="0"/>
                <w:sz w:val="21"/>
                <w:szCs w:val="21"/>
              </w:rPr>
              <w:t>电解液</w:t>
            </w:r>
          </w:p>
        </w:tc>
        <w:tc>
          <w:tcPr>
            <w:tcW w:w="5238" w:type="dxa"/>
            <w:tcBorders>
              <w:top w:val="single" w:color="000000" w:sz="2" w:space="0"/>
              <w:left w:val="single" w:color="000000" w:sz="2" w:space="0"/>
              <w:bottom w:val="single" w:color="000000" w:sz="10" w:space="0"/>
              <w:right w:val="nil"/>
            </w:tcBorders>
            <w:tcMar>
              <w:top w:w="28" w:type="dxa"/>
              <w:left w:w="28" w:type="dxa"/>
              <w:bottom w:w="28" w:type="dxa"/>
              <w:right w:w="28" w:type="dxa"/>
            </w:tcMar>
            <w:vAlign w:val="center"/>
          </w:tcPr>
          <w:p>
            <w:pPr>
              <w:kinsoku w:val="0"/>
              <w:overflowPunct w:val="0"/>
              <w:autoSpaceDE w:val="0"/>
              <w:autoSpaceDN w:val="0"/>
              <w:adjustRightInd w:val="0"/>
              <w:spacing w:line="240" w:lineRule="exact"/>
              <w:ind w:firstLine="420"/>
              <w:jc w:val="center"/>
              <w:rPr>
                <w:rFonts w:ascii="Times New Roman" w:hAnsi="Times New Roman" w:cs="Times New Roman"/>
                <w:kern w:val="0"/>
                <w:sz w:val="21"/>
                <w:szCs w:val="21"/>
              </w:rPr>
            </w:pPr>
            <w:r>
              <w:rPr>
                <w:rFonts w:ascii="Times New Roman" w:hAnsi="Times New Roman" w:cs="Times New Roman"/>
                <w:kern w:val="0"/>
                <w:sz w:val="21"/>
                <w:szCs w:val="21"/>
              </w:rPr>
              <w:t>有毒物质</w:t>
            </w:r>
            <w:r>
              <w:rPr>
                <w:rFonts w:ascii="Times New Roman" w:hAnsi="Times New Roman" w:cs="Times New Roman"/>
                <w:spacing w:val="-51"/>
                <w:kern w:val="0"/>
                <w:sz w:val="21"/>
                <w:szCs w:val="21"/>
              </w:rPr>
              <w:t xml:space="preserve"> </w:t>
            </w:r>
            <w:r>
              <w:rPr>
                <w:rFonts w:ascii="Times New Roman" w:hAnsi="Times New Roman" w:cs="Times New Roman"/>
                <w:kern w:val="0"/>
                <w:sz w:val="21"/>
                <w:szCs w:val="21"/>
              </w:rPr>
              <w:t>3类以外、易燃物质</w:t>
            </w:r>
            <w:r>
              <w:rPr>
                <w:rFonts w:ascii="Times New Roman" w:hAnsi="Times New Roman" w:cs="Times New Roman"/>
                <w:spacing w:val="-51"/>
                <w:kern w:val="0"/>
                <w:sz w:val="21"/>
                <w:szCs w:val="21"/>
              </w:rPr>
              <w:t xml:space="preserve"> </w:t>
            </w:r>
            <w:r>
              <w:rPr>
                <w:rFonts w:ascii="Times New Roman" w:hAnsi="Times New Roman" w:cs="Times New Roman"/>
                <w:kern w:val="0"/>
                <w:sz w:val="21"/>
                <w:szCs w:val="21"/>
              </w:rPr>
              <w:t>1类</w:t>
            </w:r>
          </w:p>
        </w:tc>
      </w:tr>
      <w:tr>
        <w:tblPrEx>
          <w:tblLayout w:type="fixed"/>
          <w:tblCellMar>
            <w:top w:w="0" w:type="dxa"/>
            <w:left w:w="0" w:type="dxa"/>
            <w:bottom w:w="0" w:type="dxa"/>
            <w:right w:w="0" w:type="dxa"/>
          </w:tblCellMar>
        </w:tblPrEx>
        <w:trPr>
          <w:gridBefore w:val="1"/>
          <w:wBefore w:w="15" w:type="dxa"/>
          <w:trHeight w:val="340" w:hRule="exact"/>
          <w:jc w:val="center"/>
        </w:trPr>
        <w:tc>
          <w:tcPr>
            <w:tcW w:w="795" w:type="dxa"/>
            <w:vMerge w:val="restart"/>
            <w:tcBorders>
              <w:top w:val="single" w:color="000000" w:sz="10" w:space="0"/>
              <w:left w:val="nil"/>
              <w:bottom w:val="single" w:color="000000" w:sz="10" w:space="0"/>
              <w:right w:val="single" w:color="000000" w:sz="2" w:space="0"/>
            </w:tcBorders>
            <w:tcMar>
              <w:top w:w="28" w:type="dxa"/>
              <w:left w:w="28" w:type="dxa"/>
              <w:bottom w:w="28" w:type="dxa"/>
              <w:right w:w="28" w:type="dxa"/>
            </w:tcMar>
            <w:vAlign w:val="center"/>
          </w:tcPr>
          <w:p>
            <w:pPr>
              <w:kinsoku w:val="0"/>
              <w:overflowPunct w:val="0"/>
              <w:autoSpaceDE w:val="0"/>
              <w:autoSpaceDN w:val="0"/>
              <w:adjustRightInd w:val="0"/>
              <w:spacing w:line="240" w:lineRule="exact"/>
              <w:ind w:firstLine="420"/>
              <w:jc w:val="center"/>
              <w:rPr>
                <w:rFonts w:ascii="Times New Roman" w:hAnsi="Times New Roman" w:cs="Times New Roman"/>
                <w:kern w:val="0"/>
                <w:sz w:val="21"/>
                <w:szCs w:val="21"/>
              </w:rPr>
            </w:pPr>
            <w:r>
              <w:rPr>
                <w:rFonts w:ascii="Times New Roman" w:hAnsi="Times New Roman" w:cs="Times New Roman"/>
                <w:kern w:val="0"/>
                <w:sz w:val="21"/>
                <w:szCs w:val="21"/>
              </w:rPr>
              <w:t>电解液组分</w:t>
            </w:r>
          </w:p>
        </w:tc>
        <w:tc>
          <w:tcPr>
            <w:tcW w:w="2715" w:type="dxa"/>
            <w:tcBorders>
              <w:top w:val="single" w:color="000000" w:sz="10"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kinsoku w:val="0"/>
              <w:overflowPunct w:val="0"/>
              <w:autoSpaceDE w:val="0"/>
              <w:autoSpaceDN w:val="0"/>
              <w:adjustRightInd w:val="0"/>
              <w:spacing w:line="240" w:lineRule="exact"/>
              <w:ind w:firstLine="420"/>
              <w:jc w:val="center"/>
              <w:rPr>
                <w:rFonts w:ascii="Times New Roman" w:hAnsi="Times New Roman" w:cs="Times New Roman"/>
                <w:kern w:val="0"/>
                <w:sz w:val="21"/>
                <w:szCs w:val="21"/>
              </w:rPr>
            </w:pPr>
            <w:r>
              <w:rPr>
                <w:rFonts w:ascii="Times New Roman" w:hAnsi="Times New Roman" w:cs="Times New Roman"/>
                <w:kern w:val="0"/>
                <w:sz w:val="21"/>
                <w:szCs w:val="21"/>
              </w:rPr>
              <w:t>碳酸丙烯酯（C</w:t>
            </w:r>
            <w:r>
              <w:rPr>
                <w:rFonts w:ascii="Times New Roman" w:hAnsi="Times New Roman" w:cs="Times New Roman"/>
                <w:kern w:val="0"/>
                <w:position w:val="-3"/>
                <w:sz w:val="21"/>
                <w:szCs w:val="21"/>
                <w:vertAlign w:val="subscript"/>
              </w:rPr>
              <w:t>4</w:t>
            </w:r>
            <w:r>
              <w:rPr>
                <w:rFonts w:ascii="Times New Roman" w:hAnsi="Times New Roman" w:cs="Times New Roman"/>
                <w:kern w:val="0"/>
                <w:sz w:val="21"/>
                <w:szCs w:val="21"/>
              </w:rPr>
              <w:t>H</w:t>
            </w:r>
            <w:r>
              <w:rPr>
                <w:rFonts w:ascii="Times New Roman" w:hAnsi="Times New Roman" w:cs="Times New Roman"/>
                <w:kern w:val="0"/>
                <w:position w:val="-3"/>
                <w:sz w:val="21"/>
                <w:szCs w:val="21"/>
                <w:vertAlign w:val="subscript"/>
              </w:rPr>
              <w:t>6</w:t>
            </w:r>
            <w:r>
              <w:rPr>
                <w:rFonts w:ascii="Times New Roman" w:hAnsi="Times New Roman" w:cs="Times New Roman"/>
                <w:kern w:val="0"/>
                <w:sz w:val="21"/>
                <w:szCs w:val="21"/>
              </w:rPr>
              <w:t>O</w:t>
            </w:r>
            <w:r>
              <w:rPr>
                <w:rFonts w:ascii="Times New Roman" w:hAnsi="Times New Roman" w:cs="Times New Roman"/>
                <w:kern w:val="0"/>
                <w:position w:val="-3"/>
                <w:sz w:val="21"/>
                <w:szCs w:val="21"/>
                <w:vertAlign w:val="subscript"/>
              </w:rPr>
              <w:t>3</w:t>
            </w:r>
            <w:r>
              <w:rPr>
                <w:rFonts w:ascii="Times New Roman" w:hAnsi="Times New Roman" w:cs="Times New Roman"/>
                <w:kern w:val="0"/>
                <w:sz w:val="21"/>
                <w:szCs w:val="21"/>
              </w:rPr>
              <w:t>）</w:t>
            </w:r>
          </w:p>
        </w:tc>
        <w:tc>
          <w:tcPr>
            <w:tcW w:w="5238" w:type="dxa"/>
            <w:tcBorders>
              <w:top w:val="single" w:color="000000" w:sz="10" w:space="0"/>
              <w:left w:val="single" w:color="000000" w:sz="2" w:space="0"/>
              <w:bottom w:val="single" w:color="000000" w:sz="2" w:space="0"/>
              <w:right w:val="nil"/>
            </w:tcBorders>
            <w:tcMar>
              <w:top w:w="28" w:type="dxa"/>
              <w:left w:w="28" w:type="dxa"/>
              <w:bottom w:w="28" w:type="dxa"/>
              <w:right w:w="28" w:type="dxa"/>
            </w:tcMar>
            <w:vAlign w:val="center"/>
          </w:tcPr>
          <w:p>
            <w:pPr>
              <w:kinsoku w:val="0"/>
              <w:overflowPunct w:val="0"/>
              <w:autoSpaceDE w:val="0"/>
              <w:autoSpaceDN w:val="0"/>
              <w:adjustRightInd w:val="0"/>
              <w:spacing w:line="240" w:lineRule="exact"/>
              <w:ind w:firstLine="420"/>
              <w:jc w:val="center"/>
              <w:rPr>
                <w:rFonts w:ascii="Times New Roman" w:hAnsi="Times New Roman" w:cs="Times New Roman"/>
                <w:kern w:val="0"/>
                <w:sz w:val="21"/>
                <w:szCs w:val="21"/>
              </w:rPr>
            </w:pPr>
            <w:r>
              <w:rPr>
                <w:rFonts w:ascii="Times New Roman" w:hAnsi="Times New Roman" w:cs="Times New Roman"/>
                <w:kern w:val="0"/>
                <w:sz w:val="21"/>
                <w:szCs w:val="21"/>
              </w:rPr>
              <w:t>有毒物质</w:t>
            </w:r>
            <w:r>
              <w:rPr>
                <w:rFonts w:ascii="Times New Roman" w:hAnsi="Times New Roman" w:cs="Times New Roman"/>
                <w:spacing w:val="-52"/>
                <w:kern w:val="0"/>
                <w:sz w:val="21"/>
                <w:szCs w:val="21"/>
              </w:rPr>
              <w:t xml:space="preserve"> </w:t>
            </w:r>
            <w:r>
              <w:rPr>
                <w:rFonts w:ascii="Times New Roman" w:hAnsi="Times New Roman" w:cs="Times New Roman"/>
                <w:kern w:val="0"/>
                <w:sz w:val="21"/>
                <w:szCs w:val="21"/>
              </w:rPr>
              <w:t>3类以外、易燃物质</w:t>
            </w:r>
            <w:r>
              <w:rPr>
                <w:rFonts w:ascii="Times New Roman" w:hAnsi="Times New Roman" w:cs="Times New Roman"/>
                <w:spacing w:val="-52"/>
                <w:kern w:val="0"/>
                <w:sz w:val="21"/>
                <w:szCs w:val="21"/>
              </w:rPr>
              <w:t xml:space="preserve"> </w:t>
            </w:r>
            <w:r>
              <w:rPr>
                <w:rFonts w:ascii="Times New Roman" w:hAnsi="Times New Roman" w:cs="Times New Roman"/>
                <w:kern w:val="0"/>
                <w:sz w:val="21"/>
                <w:szCs w:val="21"/>
              </w:rPr>
              <w:t>3</w:t>
            </w:r>
            <w:r>
              <w:rPr>
                <w:rFonts w:ascii="Times New Roman" w:hAnsi="Times New Roman" w:cs="Times New Roman"/>
                <w:spacing w:val="2"/>
                <w:kern w:val="0"/>
                <w:sz w:val="21"/>
                <w:szCs w:val="21"/>
              </w:rPr>
              <w:t>类以外</w:t>
            </w:r>
          </w:p>
        </w:tc>
      </w:tr>
      <w:tr>
        <w:tblPrEx>
          <w:tblLayout w:type="fixed"/>
          <w:tblCellMar>
            <w:top w:w="0" w:type="dxa"/>
            <w:left w:w="0" w:type="dxa"/>
            <w:bottom w:w="0" w:type="dxa"/>
            <w:right w:w="0" w:type="dxa"/>
          </w:tblCellMar>
        </w:tblPrEx>
        <w:trPr>
          <w:gridBefore w:val="1"/>
          <w:wBefore w:w="15" w:type="dxa"/>
          <w:trHeight w:val="340" w:hRule="exact"/>
          <w:jc w:val="center"/>
        </w:trPr>
        <w:tc>
          <w:tcPr>
            <w:tcW w:w="795" w:type="dxa"/>
            <w:vMerge w:val="continue"/>
            <w:tcBorders>
              <w:top w:val="single" w:color="000000" w:sz="10" w:space="0"/>
              <w:left w:val="nil"/>
              <w:bottom w:val="single" w:color="000000" w:sz="10" w:space="0"/>
              <w:right w:val="single" w:color="000000" w:sz="2" w:space="0"/>
            </w:tcBorders>
            <w:tcMar>
              <w:top w:w="28" w:type="dxa"/>
              <w:left w:w="28" w:type="dxa"/>
              <w:bottom w:w="28" w:type="dxa"/>
              <w:right w:w="28" w:type="dxa"/>
            </w:tcMar>
            <w:vAlign w:val="center"/>
          </w:tcPr>
          <w:p>
            <w:pPr>
              <w:kinsoku w:val="0"/>
              <w:overflowPunct w:val="0"/>
              <w:autoSpaceDE w:val="0"/>
              <w:autoSpaceDN w:val="0"/>
              <w:adjustRightInd w:val="0"/>
              <w:spacing w:line="240" w:lineRule="exact"/>
              <w:ind w:firstLine="420"/>
              <w:jc w:val="center"/>
              <w:rPr>
                <w:rFonts w:ascii="Times New Roman" w:hAnsi="Times New Roman" w:cs="Times New Roman"/>
                <w:kern w:val="0"/>
                <w:sz w:val="21"/>
                <w:szCs w:val="21"/>
              </w:rPr>
            </w:pPr>
          </w:p>
        </w:tc>
        <w:tc>
          <w:tcPr>
            <w:tcW w:w="2715"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kinsoku w:val="0"/>
              <w:overflowPunct w:val="0"/>
              <w:autoSpaceDE w:val="0"/>
              <w:autoSpaceDN w:val="0"/>
              <w:adjustRightInd w:val="0"/>
              <w:spacing w:line="240" w:lineRule="exact"/>
              <w:ind w:firstLine="420"/>
              <w:jc w:val="center"/>
              <w:rPr>
                <w:rFonts w:ascii="Times New Roman" w:hAnsi="Times New Roman" w:cs="Times New Roman"/>
                <w:kern w:val="0"/>
                <w:sz w:val="21"/>
                <w:szCs w:val="21"/>
              </w:rPr>
            </w:pPr>
            <w:r>
              <w:rPr>
                <w:rFonts w:ascii="Times New Roman" w:hAnsi="Times New Roman" w:cs="Times New Roman"/>
                <w:kern w:val="0"/>
                <w:sz w:val="21"/>
                <w:szCs w:val="21"/>
              </w:rPr>
              <w:t>碳酸乙烯酯(C</w:t>
            </w:r>
            <w:r>
              <w:rPr>
                <w:rFonts w:ascii="Times New Roman" w:hAnsi="Times New Roman" w:cs="Times New Roman"/>
                <w:kern w:val="0"/>
                <w:position w:val="-3"/>
                <w:sz w:val="21"/>
                <w:szCs w:val="21"/>
                <w:vertAlign w:val="subscript"/>
              </w:rPr>
              <w:t>3</w:t>
            </w:r>
            <w:r>
              <w:rPr>
                <w:rFonts w:ascii="Times New Roman" w:hAnsi="Times New Roman" w:cs="Times New Roman"/>
                <w:kern w:val="0"/>
                <w:sz w:val="21"/>
                <w:szCs w:val="21"/>
              </w:rPr>
              <w:t>H</w:t>
            </w:r>
            <w:r>
              <w:rPr>
                <w:rFonts w:ascii="Times New Roman" w:hAnsi="Times New Roman" w:cs="Times New Roman"/>
                <w:kern w:val="0"/>
                <w:position w:val="-3"/>
                <w:sz w:val="21"/>
                <w:szCs w:val="21"/>
                <w:vertAlign w:val="subscript"/>
              </w:rPr>
              <w:t>4</w:t>
            </w:r>
            <w:r>
              <w:rPr>
                <w:rFonts w:ascii="Times New Roman" w:hAnsi="Times New Roman" w:cs="Times New Roman"/>
                <w:kern w:val="0"/>
                <w:sz w:val="21"/>
                <w:szCs w:val="21"/>
              </w:rPr>
              <w:t>O</w:t>
            </w:r>
            <w:r>
              <w:rPr>
                <w:rFonts w:ascii="Times New Roman" w:hAnsi="Times New Roman" w:cs="Times New Roman"/>
                <w:kern w:val="0"/>
                <w:position w:val="-3"/>
                <w:sz w:val="21"/>
                <w:szCs w:val="21"/>
                <w:vertAlign w:val="subscript"/>
              </w:rPr>
              <w:t>3</w:t>
            </w:r>
            <w:r>
              <w:rPr>
                <w:rFonts w:ascii="Times New Roman" w:hAnsi="Times New Roman" w:cs="Times New Roman"/>
                <w:kern w:val="0"/>
                <w:sz w:val="21"/>
                <w:szCs w:val="21"/>
              </w:rPr>
              <w:t>)</w:t>
            </w:r>
          </w:p>
        </w:tc>
        <w:tc>
          <w:tcPr>
            <w:tcW w:w="5238" w:type="dxa"/>
            <w:tcBorders>
              <w:top w:val="single" w:color="000000" w:sz="2" w:space="0"/>
              <w:left w:val="single" w:color="000000" w:sz="2" w:space="0"/>
              <w:bottom w:val="single" w:color="000000" w:sz="2" w:space="0"/>
              <w:right w:val="nil"/>
            </w:tcBorders>
            <w:tcMar>
              <w:top w:w="28" w:type="dxa"/>
              <w:left w:w="28" w:type="dxa"/>
              <w:bottom w:w="28" w:type="dxa"/>
              <w:right w:w="28" w:type="dxa"/>
            </w:tcMar>
            <w:vAlign w:val="center"/>
          </w:tcPr>
          <w:p>
            <w:pPr>
              <w:kinsoku w:val="0"/>
              <w:overflowPunct w:val="0"/>
              <w:autoSpaceDE w:val="0"/>
              <w:autoSpaceDN w:val="0"/>
              <w:adjustRightInd w:val="0"/>
              <w:spacing w:line="240" w:lineRule="exact"/>
              <w:ind w:firstLine="420"/>
              <w:jc w:val="center"/>
              <w:rPr>
                <w:rFonts w:ascii="Times New Roman" w:hAnsi="Times New Roman" w:cs="Times New Roman"/>
                <w:kern w:val="0"/>
                <w:sz w:val="21"/>
                <w:szCs w:val="21"/>
              </w:rPr>
            </w:pPr>
            <w:r>
              <w:rPr>
                <w:rFonts w:ascii="Times New Roman" w:hAnsi="Times New Roman" w:cs="Times New Roman"/>
                <w:kern w:val="0"/>
                <w:sz w:val="21"/>
                <w:szCs w:val="21"/>
              </w:rPr>
              <w:t>有毒物质</w:t>
            </w:r>
            <w:r>
              <w:rPr>
                <w:rFonts w:ascii="Times New Roman" w:hAnsi="Times New Roman" w:cs="Times New Roman"/>
                <w:spacing w:val="-52"/>
                <w:kern w:val="0"/>
                <w:sz w:val="21"/>
                <w:szCs w:val="21"/>
              </w:rPr>
              <w:t xml:space="preserve"> </w:t>
            </w:r>
            <w:r>
              <w:rPr>
                <w:rFonts w:ascii="Times New Roman" w:hAnsi="Times New Roman" w:cs="Times New Roman"/>
                <w:kern w:val="0"/>
                <w:sz w:val="21"/>
                <w:szCs w:val="21"/>
              </w:rPr>
              <w:t>3类以外、易燃物质</w:t>
            </w:r>
            <w:r>
              <w:rPr>
                <w:rFonts w:ascii="Times New Roman" w:hAnsi="Times New Roman" w:cs="Times New Roman"/>
                <w:spacing w:val="-52"/>
                <w:kern w:val="0"/>
                <w:sz w:val="21"/>
                <w:szCs w:val="21"/>
              </w:rPr>
              <w:t xml:space="preserve"> </w:t>
            </w:r>
            <w:r>
              <w:rPr>
                <w:rFonts w:ascii="Times New Roman" w:hAnsi="Times New Roman" w:cs="Times New Roman"/>
                <w:kern w:val="0"/>
                <w:sz w:val="21"/>
                <w:szCs w:val="21"/>
              </w:rPr>
              <w:t>3</w:t>
            </w:r>
            <w:r>
              <w:rPr>
                <w:rFonts w:ascii="Times New Roman" w:hAnsi="Times New Roman" w:cs="Times New Roman"/>
                <w:spacing w:val="2"/>
                <w:kern w:val="0"/>
                <w:sz w:val="21"/>
                <w:szCs w:val="21"/>
              </w:rPr>
              <w:t>类以外</w:t>
            </w:r>
          </w:p>
        </w:tc>
      </w:tr>
      <w:tr>
        <w:tblPrEx>
          <w:tblLayout w:type="fixed"/>
          <w:tblCellMar>
            <w:top w:w="0" w:type="dxa"/>
            <w:left w:w="0" w:type="dxa"/>
            <w:bottom w:w="0" w:type="dxa"/>
            <w:right w:w="0" w:type="dxa"/>
          </w:tblCellMar>
        </w:tblPrEx>
        <w:trPr>
          <w:gridBefore w:val="1"/>
          <w:wBefore w:w="15" w:type="dxa"/>
          <w:trHeight w:val="340" w:hRule="exact"/>
          <w:jc w:val="center"/>
        </w:trPr>
        <w:tc>
          <w:tcPr>
            <w:tcW w:w="795" w:type="dxa"/>
            <w:vMerge w:val="continue"/>
            <w:tcBorders>
              <w:top w:val="single" w:color="000000" w:sz="10" w:space="0"/>
              <w:left w:val="nil"/>
              <w:bottom w:val="single" w:color="000000" w:sz="10" w:space="0"/>
              <w:right w:val="single" w:color="000000" w:sz="2" w:space="0"/>
            </w:tcBorders>
            <w:tcMar>
              <w:top w:w="28" w:type="dxa"/>
              <w:left w:w="28" w:type="dxa"/>
              <w:bottom w:w="28" w:type="dxa"/>
              <w:right w:w="28" w:type="dxa"/>
            </w:tcMar>
            <w:vAlign w:val="center"/>
          </w:tcPr>
          <w:p>
            <w:pPr>
              <w:kinsoku w:val="0"/>
              <w:overflowPunct w:val="0"/>
              <w:autoSpaceDE w:val="0"/>
              <w:autoSpaceDN w:val="0"/>
              <w:adjustRightInd w:val="0"/>
              <w:spacing w:line="240" w:lineRule="exact"/>
              <w:ind w:firstLine="420"/>
              <w:jc w:val="center"/>
              <w:rPr>
                <w:rFonts w:ascii="Times New Roman" w:hAnsi="Times New Roman" w:cs="Times New Roman"/>
                <w:kern w:val="0"/>
                <w:sz w:val="21"/>
                <w:szCs w:val="21"/>
              </w:rPr>
            </w:pPr>
          </w:p>
        </w:tc>
        <w:tc>
          <w:tcPr>
            <w:tcW w:w="2715"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kinsoku w:val="0"/>
              <w:overflowPunct w:val="0"/>
              <w:autoSpaceDE w:val="0"/>
              <w:autoSpaceDN w:val="0"/>
              <w:adjustRightInd w:val="0"/>
              <w:spacing w:line="240" w:lineRule="exact"/>
              <w:ind w:firstLine="420"/>
              <w:jc w:val="center"/>
              <w:rPr>
                <w:rFonts w:ascii="Times New Roman" w:hAnsi="Times New Roman" w:cs="Times New Roman"/>
                <w:kern w:val="0"/>
                <w:sz w:val="21"/>
                <w:szCs w:val="21"/>
              </w:rPr>
            </w:pPr>
            <w:r>
              <w:rPr>
                <w:rFonts w:ascii="Times New Roman" w:hAnsi="Times New Roman" w:cs="Times New Roman"/>
                <w:kern w:val="0"/>
                <w:sz w:val="21"/>
                <w:szCs w:val="21"/>
              </w:rPr>
              <w:t>碳酸二甲酯（C</w:t>
            </w:r>
            <w:r>
              <w:rPr>
                <w:rFonts w:ascii="Times New Roman" w:hAnsi="Times New Roman" w:cs="Times New Roman"/>
                <w:kern w:val="0"/>
                <w:position w:val="-3"/>
                <w:sz w:val="21"/>
                <w:szCs w:val="21"/>
                <w:vertAlign w:val="subscript"/>
              </w:rPr>
              <w:t>3</w:t>
            </w:r>
            <w:r>
              <w:rPr>
                <w:rFonts w:ascii="Times New Roman" w:hAnsi="Times New Roman" w:cs="Times New Roman"/>
                <w:kern w:val="0"/>
                <w:sz w:val="21"/>
                <w:szCs w:val="21"/>
              </w:rPr>
              <w:t>H</w:t>
            </w:r>
            <w:r>
              <w:rPr>
                <w:rFonts w:ascii="Times New Roman" w:hAnsi="Times New Roman" w:cs="Times New Roman"/>
                <w:kern w:val="0"/>
                <w:position w:val="-3"/>
                <w:sz w:val="21"/>
                <w:szCs w:val="21"/>
                <w:vertAlign w:val="subscript"/>
              </w:rPr>
              <w:t>6</w:t>
            </w:r>
            <w:r>
              <w:rPr>
                <w:rFonts w:ascii="Times New Roman" w:hAnsi="Times New Roman" w:cs="Times New Roman"/>
                <w:kern w:val="0"/>
                <w:sz w:val="21"/>
                <w:szCs w:val="21"/>
              </w:rPr>
              <w:t>O</w:t>
            </w:r>
            <w:r>
              <w:rPr>
                <w:rFonts w:ascii="Times New Roman" w:hAnsi="Times New Roman" w:cs="Times New Roman"/>
                <w:kern w:val="0"/>
                <w:position w:val="-3"/>
                <w:sz w:val="21"/>
                <w:szCs w:val="21"/>
                <w:vertAlign w:val="subscript"/>
              </w:rPr>
              <w:t>3</w:t>
            </w:r>
            <w:r>
              <w:rPr>
                <w:rFonts w:ascii="Times New Roman" w:hAnsi="Times New Roman" w:cs="Times New Roman"/>
                <w:kern w:val="0"/>
                <w:sz w:val="21"/>
                <w:szCs w:val="21"/>
              </w:rPr>
              <w:t>）</w:t>
            </w:r>
          </w:p>
        </w:tc>
        <w:tc>
          <w:tcPr>
            <w:tcW w:w="5238" w:type="dxa"/>
            <w:tcBorders>
              <w:top w:val="single" w:color="000000" w:sz="2" w:space="0"/>
              <w:left w:val="single" w:color="000000" w:sz="2" w:space="0"/>
              <w:bottom w:val="single" w:color="000000" w:sz="2" w:space="0"/>
              <w:right w:val="nil"/>
            </w:tcBorders>
            <w:tcMar>
              <w:top w:w="28" w:type="dxa"/>
              <w:left w:w="28" w:type="dxa"/>
              <w:bottom w:w="28" w:type="dxa"/>
              <w:right w:w="28" w:type="dxa"/>
            </w:tcMar>
            <w:vAlign w:val="center"/>
          </w:tcPr>
          <w:p>
            <w:pPr>
              <w:kinsoku w:val="0"/>
              <w:overflowPunct w:val="0"/>
              <w:autoSpaceDE w:val="0"/>
              <w:autoSpaceDN w:val="0"/>
              <w:adjustRightInd w:val="0"/>
              <w:spacing w:line="240" w:lineRule="exact"/>
              <w:ind w:firstLine="420"/>
              <w:jc w:val="center"/>
              <w:rPr>
                <w:rFonts w:ascii="Times New Roman" w:hAnsi="Times New Roman" w:cs="Times New Roman"/>
                <w:kern w:val="0"/>
                <w:sz w:val="21"/>
                <w:szCs w:val="21"/>
              </w:rPr>
            </w:pPr>
            <w:r>
              <w:rPr>
                <w:rFonts w:ascii="Times New Roman" w:hAnsi="Times New Roman" w:cs="Times New Roman"/>
                <w:kern w:val="0"/>
                <w:sz w:val="21"/>
                <w:szCs w:val="21"/>
              </w:rPr>
              <w:t>有毒物质</w:t>
            </w:r>
            <w:r>
              <w:rPr>
                <w:rFonts w:ascii="Times New Roman" w:hAnsi="Times New Roman" w:cs="Times New Roman"/>
                <w:spacing w:val="-51"/>
                <w:kern w:val="0"/>
                <w:sz w:val="21"/>
                <w:szCs w:val="21"/>
              </w:rPr>
              <w:t xml:space="preserve"> </w:t>
            </w:r>
            <w:r>
              <w:rPr>
                <w:rFonts w:ascii="Times New Roman" w:hAnsi="Times New Roman" w:cs="Times New Roman"/>
                <w:kern w:val="0"/>
                <w:sz w:val="21"/>
                <w:szCs w:val="21"/>
              </w:rPr>
              <w:t>3类以外、易燃物质</w:t>
            </w:r>
            <w:r>
              <w:rPr>
                <w:rFonts w:ascii="Times New Roman" w:hAnsi="Times New Roman" w:cs="Times New Roman"/>
                <w:spacing w:val="-51"/>
                <w:kern w:val="0"/>
                <w:sz w:val="21"/>
                <w:szCs w:val="21"/>
              </w:rPr>
              <w:t xml:space="preserve"> </w:t>
            </w:r>
            <w:r>
              <w:rPr>
                <w:rFonts w:ascii="Times New Roman" w:hAnsi="Times New Roman" w:cs="Times New Roman"/>
                <w:kern w:val="0"/>
                <w:sz w:val="21"/>
                <w:szCs w:val="21"/>
              </w:rPr>
              <w:t>1类</w:t>
            </w:r>
          </w:p>
        </w:tc>
      </w:tr>
      <w:tr>
        <w:tblPrEx>
          <w:tblLayout w:type="fixed"/>
          <w:tblCellMar>
            <w:top w:w="0" w:type="dxa"/>
            <w:left w:w="0" w:type="dxa"/>
            <w:bottom w:w="0" w:type="dxa"/>
            <w:right w:w="0" w:type="dxa"/>
          </w:tblCellMar>
        </w:tblPrEx>
        <w:trPr>
          <w:gridBefore w:val="1"/>
          <w:wBefore w:w="15" w:type="dxa"/>
          <w:trHeight w:val="340" w:hRule="exact"/>
          <w:jc w:val="center"/>
        </w:trPr>
        <w:tc>
          <w:tcPr>
            <w:tcW w:w="795" w:type="dxa"/>
            <w:vMerge w:val="continue"/>
            <w:tcBorders>
              <w:top w:val="single" w:color="000000" w:sz="10" w:space="0"/>
              <w:left w:val="nil"/>
              <w:bottom w:val="single" w:color="000000" w:sz="10" w:space="0"/>
              <w:right w:val="single" w:color="000000" w:sz="2" w:space="0"/>
            </w:tcBorders>
            <w:tcMar>
              <w:top w:w="28" w:type="dxa"/>
              <w:left w:w="28" w:type="dxa"/>
              <w:bottom w:w="28" w:type="dxa"/>
              <w:right w:w="28" w:type="dxa"/>
            </w:tcMar>
            <w:vAlign w:val="center"/>
          </w:tcPr>
          <w:p>
            <w:pPr>
              <w:kinsoku w:val="0"/>
              <w:overflowPunct w:val="0"/>
              <w:autoSpaceDE w:val="0"/>
              <w:autoSpaceDN w:val="0"/>
              <w:adjustRightInd w:val="0"/>
              <w:spacing w:line="240" w:lineRule="exact"/>
              <w:ind w:firstLine="420"/>
              <w:jc w:val="center"/>
              <w:rPr>
                <w:rFonts w:ascii="Times New Roman" w:hAnsi="Times New Roman" w:cs="Times New Roman"/>
                <w:kern w:val="0"/>
                <w:sz w:val="21"/>
                <w:szCs w:val="21"/>
              </w:rPr>
            </w:pPr>
          </w:p>
        </w:tc>
        <w:tc>
          <w:tcPr>
            <w:tcW w:w="2715"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kinsoku w:val="0"/>
              <w:overflowPunct w:val="0"/>
              <w:autoSpaceDE w:val="0"/>
              <w:autoSpaceDN w:val="0"/>
              <w:adjustRightInd w:val="0"/>
              <w:spacing w:line="240" w:lineRule="exact"/>
              <w:ind w:firstLine="420"/>
              <w:jc w:val="center"/>
              <w:rPr>
                <w:rFonts w:ascii="Times New Roman" w:hAnsi="Times New Roman" w:cs="Times New Roman"/>
                <w:kern w:val="0"/>
                <w:sz w:val="21"/>
                <w:szCs w:val="21"/>
              </w:rPr>
            </w:pPr>
            <w:r>
              <w:rPr>
                <w:rFonts w:ascii="Times New Roman" w:hAnsi="Times New Roman" w:cs="Times New Roman"/>
                <w:kern w:val="0"/>
                <w:sz w:val="21"/>
                <w:szCs w:val="21"/>
              </w:rPr>
              <w:t>碳酸二乙酯((C</w:t>
            </w:r>
            <w:r>
              <w:rPr>
                <w:rFonts w:ascii="Times New Roman" w:hAnsi="Times New Roman" w:cs="Times New Roman"/>
                <w:kern w:val="0"/>
                <w:position w:val="-3"/>
                <w:sz w:val="21"/>
                <w:szCs w:val="21"/>
              </w:rPr>
              <w:t>2</w:t>
            </w:r>
            <w:r>
              <w:rPr>
                <w:rFonts w:ascii="Times New Roman" w:hAnsi="Times New Roman" w:cs="Times New Roman"/>
                <w:kern w:val="0"/>
                <w:sz w:val="21"/>
                <w:szCs w:val="21"/>
              </w:rPr>
              <w:t>H</w:t>
            </w:r>
            <w:r>
              <w:rPr>
                <w:rFonts w:ascii="Times New Roman" w:hAnsi="Times New Roman" w:cs="Times New Roman"/>
                <w:kern w:val="0"/>
                <w:position w:val="-3"/>
                <w:sz w:val="21"/>
                <w:szCs w:val="21"/>
              </w:rPr>
              <w:t>5</w:t>
            </w:r>
            <w:r>
              <w:rPr>
                <w:rFonts w:ascii="Times New Roman" w:hAnsi="Times New Roman" w:cs="Times New Roman"/>
                <w:kern w:val="0"/>
                <w:sz w:val="21"/>
                <w:szCs w:val="21"/>
              </w:rPr>
              <w:t>)</w:t>
            </w:r>
            <w:r>
              <w:rPr>
                <w:rFonts w:ascii="Times New Roman" w:hAnsi="Times New Roman" w:cs="Times New Roman"/>
                <w:kern w:val="0"/>
                <w:position w:val="-3"/>
                <w:sz w:val="21"/>
                <w:szCs w:val="21"/>
              </w:rPr>
              <w:t>2</w:t>
            </w:r>
            <w:r>
              <w:rPr>
                <w:rFonts w:ascii="Times New Roman" w:hAnsi="Times New Roman" w:cs="Times New Roman"/>
                <w:kern w:val="0"/>
                <w:sz w:val="21"/>
                <w:szCs w:val="21"/>
              </w:rPr>
              <w:t>CO</w:t>
            </w:r>
            <w:r>
              <w:rPr>
                <w:rFonts w:ascii="Times New Roman" w:hAnsi="Times New Roman" w:cs="Times New Roman"/>
                <w:kern w:val="0"/>
                <w:position w:val="-3"/>
                <w:sz w:val="21"/>
                <w:szCs w:val="21"/>
              </w:rPr>
              <w:t>3</w:t>
            </w:r>
            <w:r>
              <w:rPr>
                <w:rFonts w:ascii="Times New Roman" w:hAnsi="Times New Roman" w:cs="Times New Roman"/>
                <w:kern w:val="0"/>
                <w:sz w:val="21"/>
                <w:szCs w:val="21"/>
              </w:rPr>
              <w:t>)</w:t>
            </w:r>
          </w:p>
        </w:tc>
        <w:tc>
          <w:tcPr>
            <w:tcW w:w="5238" w:type="dxa"/>
            <w:tcBorders>
              <w:top w:val="single" w:color="000000" w:sz="2" w:space="0"/>
              <w:left w:val="single" w:color="000000" w:sz="2" w:space="0"/>
              <w:bottom w:val="single" w:color="000000" w:sz="2" w:space="0"/>
              <w:right w:val="nil"/>
            </w:tcBorders>
            <w:tcMar>
              <w:top w:w="28" w:type="dxa"/>
              <w:left w:w="28" w:type="dxa"/>
              <w:bottom w:w="28" w:type="dxa"/>
              <w:right w:w="28" w:type="dxa"/>
            </w:tcMar>
            <w:vAlign w:val="center"/>
          </w:tcPr>
          <w:p>
            <w:pPr>
              <w:kinsoku w:val="0"/>
              <w:overflowPunct w:val="0"/>
              <w:autoSpaceDE w:val="0"/>
              <w:autoSpaceDN w:val="0"/>
              <w:adjustRightInd w:val="0"/>
              <w:spacing w:line="240" w:lineRule="exact"/>
              <w:ind w:firstLine="420"/>
              <w:jc w:val="center"/>
              <w:rPr>
                <w:rFonts w:ascii="Times New Roman" w:hAnsi="Times New Roman" w:cs="Times New Roman"/>
                <w:kern w:val="0"/>
                <w:sz w:val="21"/>
                <w:szCs w:val="21"/>
              </w:rPr>
            </w:pPr>
            <w:r>
              <w:rPr>
                <w:rFonts w:ascii="Times New Roman" w:hAnsi="Times New Roman" w:cs="Times New Roman"/>
                <w:kern w:val="0"/>
                <w:sz w:val="21"/>
                <w:szCs w:val="21"/>
              </w:rPr>
              <w:t>有毒物质</w:t>
            </w:r>
            <w:r>
              <w:rPr>
                <w:rFonts w:ascii="Times New Roman" w:hAnsi="Times New Roman" w:cs="Times New Roman"/>
                <w:spacing w:val="-51"/>
                <w:kern w:val="0"/>
                <w:sz w:val="21"/>
                <w:szCs w:val="21"/>
              </w:rPr>
              <w:t xml:space="preserve"> </w:t>
            </w:r>
            <w:r>
              <w:rPr>
                <w:rFonts w:ascii="Times New Roman" w:hAnsi="Times New Roman" w:cs="Times New Roman"/>
                <w:kern w:val="0"/>
                <w:sz w:val="21"/>
                <w:szCs w:val="21"/>
              </w:rPr>
              <w:t>3类以外、易燃物质</w:t>
            </w:r>
            <w:r>
              <w:rPr>
                <w:rFonts w:ascii="Times New Roman" w:hAnsi="Times New Roman" w:cs="Times New Roman"/>
                <w:spacing w:val="-51"/>
                <w:kern w:val="0"/>
                <w:sz w:val="21"/>
                <w:szCs w:val="21"/>
              </w:rPr>
              <w:t xml:space="preserve"> </w:t>
            </w:r>
            <w:r>
              <w:rPr>
                <w:rFonts w:ascii="Times New Roman" w:hAnsi="Times New Roman" w:cs="Times New Roman"/>
                <w:kern w:val="0"/>
                <w:sz w:val="21"/>
                <w:szCs w:val="21"/>
              </w:rPr>
              <w:t>2类</w:t>
            </w:r>
          </w:p>
        </w:tc>
      </w:tr>
      <w:tr>
        <w:tblPrEx>
          <w:tblLayout w:type="fixed"/>
          <w:tblCellMar>
            <w:top w:w="0" w:type="dxa"/>
            <w:left w:w="0" w:type="dxa"/>
            <w:bottom w:w="0" w:type="dxa"/>
            <w:right w:w="0" w:type="dxa"/>
          </w:tblCellMar>
        </w:tblPrEx>
        <w:trPr>
          <w:gridBefore w:val="1"/>
          <w:wBefore w:w="15" w:type="dxa"/>
          <w:trHeight w:val="340" w:hRule="exact"/>
          <w:jc w:val="center"/>
        </w:trPr>
        <w:tc>
          <w:tcPr>
            <w:tcW w:w="795" w:type="dxa"/>
            <w:vMerge w:val="continue"/>
            <w:tcBorders>
              <w:top w:val="single" w:color="000000" w:sz="10" w:space="0"/>
              <w:left w:val="nil"/>
              <w:bottom w:val="single" w:color="000000" w:sz="10" w:space="0"/>
              <w:right w:val="single" w:color="000000" w:sz="2" w:space="0"/>
            </w:tcBorders>
            <w:tcMar>
              <w:top w:w="28" w:type="dxa"/>
              <w:left w:w="28" w:type="dxa"/>
              <w:bottom w:w="28" w:type="dxa"/>
              <w:right w:w="28" w:type="dxa"/>
            </w:tcMar>
            <w:vAlign w:val="center"/>
          </w:tcPr>
          <w:p>
            <w:pPr>
              <w:kinsoku w:val="0"/>
              <w:overflowPunct w:val="0"/>
              <w:autoSpaceDE w:val="0"/>
              <w:autoSpaceDN w:val="0"/>
              <w:adjustRightInd w:val="0"/>
              <w:spacing w:line="240" w:lineRule="exact"/>
              <w:ind w:firstLine="420"/>
              <w:jc w:val="center"/>
              <w:rPr>
                <w:rFonts w:ascii="Times New Roman" w:hAnsi="Times New Roman" w:cs="Times New Roman"/>
                <w:kern w:val="0"/>
                <w:sz w:val="21"/>
                <w:szCs w:val="21"/>
              </w:rPr>
            </w:pPr>
          </w:p>
        </w:tc>
        <w:tc>
          <w:tcPr>
            <w:tcW w:w="2715"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kinsoku w:val="0"/>
              <w:overflowPunct w:val="0"/>
              <w:autoSpaceDE w:val="0"/>
              <w:autoSpaceDN w:val="0"/>
              <w:adjustRightInd w:val="0"/>
              <w:spacing w:line="240" w:lineRule="exact"/>
              <w:ind w:firstLine="420"/>
              <w:jc w:val="center"/>
              <w:rPr>
                <w:rFonts w:ascii="Times New Roman" w:hAnsi="Times New Roman" w:cs="Times New Roman"/>
                <w:kern w:val="0"/>
                <w:sz w:val="21"/>
                <w:szCs w:val="21"/>
              </w:rPr>
            </w:pPr>
            <w:r>
              <w:rPr>
                <w:rFonts w:ascii="Times New Roman" w:hAnsi="Times New Roman" w:cs="Times New Roman"/>
                <w:kern w:val="0"/>
                <w:sz w:val="21"/>
                <w:szCs w:val="21"/>
              </w:rPr>
              <w:t>碳酸甲乙酯(C</w:t>
            </w:r>
            <w:r>
              <w:rPr>
                <w:rFonts w:ascii="Times New Roman" w:hAnsi="Times New Roman" w:cs="Times New Roman"/>
                <w:kern w:val="0"/>
                <w:position w:val="-3"/>
                <w:sz w:val="21"/>
                <w:szCs w:val="21"/>
              </w:rPr>
              <w:t>2</w:t>
            </w:r>
            <w:r>
              <w:rPr>
                <w:rFonts w:ascii="Times New Roman" w:hAnsi="Times New Roman" w:cs="Times New Roman"/>
                <w:kern w:val="0"/>
                <w:sz w:val="21"/>
                <w:szCs w:val="21"/>
              </w:rPr>
              <w:t>H</w:t>
            </w:r>
            <w:r>
              <w:rPr>
                <w:rFonts w:ascii="Times New Roman" w:hAnsi="Times New Roman" w:cs="Times New Roman"/>
                <w:kern w:val="0"/>
                <w:position w:val="-3"/>
                <w:sz w:val="21"/>
                <w:szCs w:val="21"/>
              </w:rPr>
              <w:t>5</w:t>
            </w:r>
            <w:r>
              <w:rPr>
                <w:rFonts w:ascii="Times New Roman" w:hAnsi="Times New Roman" w:cs="Times New Roman"/>
                <w:kern w:val="0"/>
                <w:sz w:val="21"/>
                <w:szCs w:val="21"/>
              </w:rPr>
              <w:t>CO</w:t>
            </w:r>
            <w:r>
              <w:rPr>
                <w:rFonts w:ascii="Times New Roman" w:hAnsi="Times New Roman" w:cs="Times New Roman"/>
                <w:kern w:val="0"/>
                <w:position w:val="-3"/>
                <w:sz w:val="21"/>
                <w:szCs w:val="21"/>
              </w:rPr>
              <w:t>3</w:t>
            </w:r>
            <w:r>
              <w:rPr>
                <w:rFonts w:ascii="Times New Roman" w:hAnsi="Times New Roman" w:cs="Times New Roman"/>
                <w:kern w:val="0"/>
                <w:sz w:val="21"/>
                <w:szCs w:val="21"/>
              </w:rPr>
              <w:t>CH</w:t>
            </w:r>
            <w:r>
              <w:rPr>
                <w:rFonts w:ascii="Times New Roman" w:hAnsi="Times New Roman" w:cs="Times New Roman"/>
                <w:kern w:val="0"/>
                <w:position w:val="-3"/>
                <w:sz w:val="21"/>
                <w:szCs w:val="21"/>
              </w:rPr>
              <w:t>3</w:t>
            </w:r>
            <w:r>
              <w:rPr>
                <w:rFonts w:ascii="Times New Roman" w:hAnsi="Times New Roman" w:cs="Times New Roman"/>
                <w:kern w:val="0"/>
                <w:sz w:val="21"/>
                <w:szCs w:val="21"/>
              </w:rPr>
              <w:t>)</w:t>
            </w:r>
          </w:p>
        </w:tc>
        <w:tc>
          <w:tcPr>
            <w:tcW w:w="5238" w:type="dxa"/>
            <w:tcBorders>
              <w:top w:val="single" w:color="000000" w:sz="2" w:space="0"/>
              <w:left w:val="single" w:color="000000" w:sz="2" w:space="0"/>
              <w:bottom w:val="single" w:color="000000" w:sz="2" w:space="0"/>
              <w:right w:val="nil"/>
            </w:tcBorders>
            <w:tcMar>
              <w:top w:w="28" w:type="dxa"/>
              <w:left w:w="28" w:type="dxa"/>
              <w:bottom w:w="28" w:type="dxa"/>
              <w:right w:w="28" w:type="dxa"/>
            </w:tcMar>
            <w:vAlign w:val="center"/>
          </w:tcPr>
          <w:p>
            <w:pPr>
              <w:kinsoku w:val="0"/>
              <w:overflowPunct w:val="0"/>
              <w:autoSpaceDE w:val="0"/>
              <w:autoSpaceDN w:val="0"/>
              <w:adjustRightInd w:val="0"/>
              <w:spacing w:line="240" w:lineRule="exact"/>
              <w:ind w:firstLine="420"/>
              <w:jc w:val="center"/>
              <w:rPr>
                <w:rFonts w:ascii="Times New Roman" w:hAnsi="Times New Roman" w:cs="Times New Roman"/>
                <w:kern w:val="0"/>
                <w:sz w:val="21"/>
                <w:szCs w:val="21"/>
              </w:rPr>
            </w:pPr>
            <w:r>
              <w:rPr>
                <w:rFonts w:ascii="Times New Roman" w:hAnsi="Times New Roman" w:cs="Times New Roman"/>
                <w:kern w:val="0"/>
                <w:sz w:val="21"/>
                <w:szCs w:val="21"/>
              </w:rPr>
              <w:t>有毒物质</w:t>
            </w:r>
            <w:r>
              <w:rPr>
                <w:rFonts w:ascii="Times New Roman" w:hAnsi="Times New Roman" w:cs="Times New Roman"/>
                <w:spacing w:val="-52"/>
                <w:kern w:val="0"/>
                <w:sz w:val="21"/>
                <w:szCs w:val="21"/>
              </w:rPr>
              <w:t xml:space="preserve"> </w:t>
            </w:r>
            <w:r>
              <w:rPr>
                <w:rFonts w:ascii="Times New Roman" w:hAnsi="Times New Roman" w:cs="Times New Roman"/>
                <w:kern w:val="0"/>
                <w:sz w:val="21"/>
                <w:szCs w:val="21"/>
              </w:rPr>
              <w:t>3类以外、易燃物质</w:t>
            </w:r>
            <w:r>
              <w:rPr>
                <w:rFonts w:ascii="Times New Roman" w:hAnsi="Times New Roman" w:cs="Times New Roman"/>
                <w:spacing w:val="-52"/>
                <w:kern w:val="0"/>
                <w:sz w:val="21"/>
                <w:szCs w:val="21"/>
              </w:rPr>
              <w:t xml:space="preserve"> </w:t>
            </w:r>
            <w:r>
              <w:rPr>
                <w:rFonts w:ascii="Times New Roman" w:hAnsi="Times New Roman" w:cs="Times New Roman"/>
                <w:kern w:val="0"/>
                <w:sz w:val="21"/>
                <w:szCs w:val="21"/>
              </w:rPr>
              <w:t>3</w:t>
            </w:r>
            <w:r>
              <w:rPr>
                <w:rFonts w:ascii="Times New Roman" w:hAnsi="Times New Roman" w:cs="Times New Roman"/>
                <w:spacing w:val="2"/>
                <w:kern w:val="0"/>
                <w:sz w:val="21"/>
                <w:szCs w:val="21"/>
              </w:rPr>
              <w:t>类以外</w:t>
            </w:r>
          </w:p>
        </w:tc>
      </w:tr>
      <w:tr>
        <w:tblPrEx>
          <w:tblLayout w:type="fixed"/>
          <w:tblCellMar>
            <w:top w:w="0" w:type="dxa"/>
            <w:left w:w="0" w:type="dxa"/>
            <w:bottom w:w="0" w:type="dxa"/>
            <w:right w:w="0" w:type="dxa"/>
          </w:tblCellMar>
        </w:tblPrEx>
        <w:trPr>
          <w:gridBefore w:val="1"/>
          <w:wBefore w:w="15" w:type="dxa"/>
          <w:trHeight w:val="340" w:hRule="exact"/>
          <w:jc w:val="center"/>
        </w:trPr>
        <w:tc>
          <w:tcPr>
            <w:tcW w:w="795" w:type="dxa"/>
            <w:vMerge w:val="continue"/>
            <w:tcBorders>
              <w:top w:val="single" w:color="000000" w:sz="10" w:space="0"/>
              <w:left w:val="nil"/>
              <w:bottom w:val="single" w:color="000000" w:sz="10" w:space="0"/>
              <w:right w:val="single" w:color="000000" w:sz="2" w:space="0"/>
            </w:tcBorders>
            <w:tcMar>
              <w:top w:w="28" w:type="dxa"/>
              <w:left w:w="28" w:type="dxa"/>
              <w:bottom w:w="28" w:type="dxa"/>
              <w:right w:w="28" w:type="dxa"/>
            </w:tcMar>
            <w:vAlign w:val="center"/>
          </w:tcPr>
          <w:p>
            <w:pPr>
              <w:kinsoku w:val="0"/>
              <w:overflowPunct w:val="0"/>
              <w:autoSpaceDE w:val="0"/>
              <w:autoSpaceDN w:val="0"/>
              <w:adjustRightInd w:val="0"/>
              <w:spacing w:line="240" w:lineRule="exact"/>
              <w:ind w:firstLine="420"/>
              <w:jc w:val="center"/>
              <w:rPr>
                <w:rFonts w:ascii="Times New Roman" w:hAnsi="Times New Roman" w:cs="Times New Roman"/>
                <w:kern w:val="0"/>
                <w:sz w:val="21"/>
                <w:szCs w:val="21"/>
              </w:rPr>
            </w:pPr>
          </w:p>
        </w:tc>
        <w:tc>
          <w:tcPr>
            <w:tcW w:w="2715" w:type="dxa"/>
            <w:tcBorders>
              <w:top w:val="single" w:color="000000" w:sz="2" w:space="0"/>
              <w:left w:val="single" w:color="000000" w:sz="2" w:space="0"/>
              <w:bottom w:val="single" w:color="000000" w:sz="10" w:space="0"/>
              <w:right w:val="single" w:color="000000" w:sz="2" w:space="0"/>
            </w:tcBorders>
            <w:tcMar>
              <w:top w:w="28" w:type="dxa"/>
              <w:left w:w="28" w:type="dxa"/>
              <w:bottom w:w="28" w:type="dxa"/>
              <w:right w:w="28" w:type="dxa"/>
            </w:tcMar>
            <w:vAlign w:val="center"/>
          </w:tcPr>
          <w:p>
            <w:pPr>
              <w:kinsoku w:val="0"/>
              <w:overflowPunct w:val="0"/>
              <w:autoSpaceDE w:val="0"/>
              <w:autoSpaceDN w:val="0"/>
              <w:adjustRightInd w:val="0"/>
              <w:spacing w:line="240" w:lineRule="exact"/>
              <w:ind w:firstLine="420"/>
              <w:jc w:val="center"/>
              <w:rPr>
                <w:rFonts w:ascii="Times New Roman" w:hAnsi="Times New Roman" w:cs="Times New Roman"/>
                <w:kern w:val="0"/>
                <w:sz w:val="21"/>
                <w:szCs w:val="21"/>
              </w:rPr>
            </w:pPr>
            <w:r>
              <w:rPr>
                <w:rFonts w:ascii="Times New Roman" w:hAnsi="Times New Roman" w:cs="Times New Roman"/>
                <w:kern w:val="0"/>
                <w:sz w:val="21"/>
                <w:szCs w:val="21"/>
              </w:rPr>
              <w:t>六氟磷酸锂（LiPF</w:t>
            </w:r>
            <w:r>
              <w:rPr>
                <w:rFonts w:ascii="Times New Roman" w:hAnsi="Times New Roman" w:cs="Times New Roman"/>
                <w:kern w:val="0"/>
                <w:position w:val="-3"/>
                <w:sz w:val="21"/>
                <w:szCs w:val="21"/>
                <w:vertAlign w:val="subscript"/>
              </w:rPr>
              <w:t>6</w:t>
            </w:r>
            <w:r>
              <w:rPr>
                <w:rFonts w:ascii="Times New Roman" w:hAnsi="Times New Roman" w:cs="Times New Roman"/>
                <w:kern w:val="0"/>
                <w:sz w:val="21"/>
                <w:szCs w:val="21"/>
              </w:rPr>
              <w:t>）</w:t>
            </w:r>
          </w:p>
        </w:tc>
        <w:tc>
          <w:tcPr>
            <w:tcW w:w="5238" w:type="dxa"/>
            <w:tcBorders>
              <w:top w:val="single" w:color="000000" w:sz="2" w:space="0"/>
              <w:left w:val="single" w:color="000000" w:sz="2" w:space="0"/>
              <w:bottom w:val="single" w:color="000000" w:sz="10" w:space="0"/>
              <w:right w:val="nil"/>
            </w:tcBorders>
            <w:tcMar>
              <w:top w:w="28" w:type="dxa"/>
              <w:left w:w="28" w:type="dxa"/>
              <w:bottom w:w="28" w:type="dxa"/>
              <w:right w:w="28" w:type="dxa"/>
            </w:tcMar>
            <w:vAlign w:val="center"/>
          </w:tcPr>
          <w:p>
            <w:pPr>
              <w:kinsoku w:val="0"/>
              <w:overflowPunct w:val="0"/>
              <w:autoSpaceDE w:val="0"/>
              <w:autoSpaceDN w:val="0"/>
              <w:adjustRightInd w:val="0"/>
              <w:spacing w:line="240" w:lineRule="exact"/>
              <w:ind w:firstLine="420"/>
              <w:jc w:val="center"/>
              <w:rPr>
                <w:rFonts w:ascii="Times New Roman" w:hAnsi="Times New Roman" w:cs="Times New Roman"/>
                <w:kern w:val="0"/>
                <w:sz w:val="21"/>
                <w:szCs w:val="21"/>
              </w:rPr>
            </w:pPr>
            <w:r>
              <w:rPr>
                <w:rFonts w:ascii="Times New Roman" w:hAnsi="Times New Roman" w:cs="Times New Roman"/>
                <w:kern w:val="0"/>
                <w:sz w:val="21"/>
                <w:szCs w:val="21"/>
              </w:rPr>
              <w:t>有毒物质</w:t>
            </w:r>
            <w:r>
              <w:rPr>
                <w:rFonts w:ascii="Times New Roman" w:hAnsi="Times New Roman" w:cs="Times New Roman"/>
                <w:spacing w:val="-52"/>
                <w:kern w:val="0"/>
                <w:sz w:val="21"/>
                <w:szCs w:val="21"/>
              </w:rPr>
              <w:t xml:space="preserve"> </w:t>
            </w:r>
            <w:r>
              <w:rPr>
                <w:rFonts w:ascii="Times New Roman" w:hAnsi="Times New Roman" w:cs="Times New Roman"/>
                <w:kern w:val="0"/>
                <w:sz w:val="21"/>
                <w:szCs w:val="21"/>
              </w:rPr>
              <w:t>3类以外、易燃物质</w:t>
            </w:r>
            <w:r>
              <w:rPr>
                <w:rFonts w:ascii="Times New Roman" w:hAnsi="Times New Roman" w:cs="Times New Roman"/>
                <w:spacing w:val="-52"/>
                <w:kern w:val="0"/>
                <w:sz w:val="21"/>
                <w:szCs w:val="21"/>
              </w:rPr>
              <w:t xml:space="preserve"> </w:t>
            </w:r>
            <w:r>
              <w:rPr>
                <w:rFonts w:ascii="Times New Roman" w:hAnsi="Times New Roman" w:cs="Times New Roman"/>
                <w:kern w:val="0"/>
                <w:sz w:val="21"/>
                <w:szCs w:val="21"/>
              </w:rPr>
              <w:t>3</w:t>
            </w:r>
            <w:r>
              <w:rPr>
                <w:rFonts w:ascii="Times New Roman" w:hAnsi="Times New Roman" w:cs="Times New Roman"/>
                <w:spacing w:val="2"/>
                <w:kern w:val="0"/>
                <w:sz w:val="21"/>
                <w:szCs w:val="21"/>
              </w:rPr>
              <w:t>类以外</w:t>
            </w:r>
          </w:p>
        </w:tc>
      </w:tr>
    </w:tbl>
    <w:p>
      <w:pPr>
        <w:kinsoku w:val="0"/>
        <w:overflowPunct w:val="0"/>
        <w:autoSpaceDE w:val="0"/>
        <w:autoSpaceDN w:val="0"/>
        <w:adjustRightInd w:val="0"/>
        <w:spacing w:line="440" w:lineRule="exact"/>
        <w:ind w:firstLine="488"/>
        <w:rPr>
          <w:rFonts w:ascii="Times New Roman" w:hAnsi="Times New Roman" w:cs="Times New Roman"/>
          <w:spacing w:val="2"/>
          <w:kern w:val="0"/>
          <w:szCs w:val="24"/>
        </w:rPr>
      </w:pPr>
      <w:r>
        <w:rPr>
          <w:rFonts w:ascii="Times New Roman" w:hAnsi="Times New Roman" w:cs="Times New Roman"/>
          <w:spacing w:val="2"/>
          <w:kern w:val="0"/>
          <w:szCs w:val="24"/>
        </w:rPr>
        <w:t>根据《建设项目环境风险评价技术导则》（HJ/T169-2004），《危险化学品重大危险源辨识》（GB18218-2009）属易燃物质的有：电解液（组分中碳酸二甲酯、碳酸二乙酯亦属于）；电解液中各组分物质毒性均较低，不在毒性判定标准所列范围内。</w:t>
      </w:r>
    </w:p>
    <w:p>
      <w:pPr>
        <w:kinsoku w:val="0"/>
        <w:overflowPunct w:val="0"/>
        <w:autoSpaceDE w:val="0"/>
        <w:autoSpaceDN w:val="0"/>
        <w:adjustRightInd w:val="0"/>
        <w:spacing w:line="440" w:lineRule="exact"/>
        <w:ind w:firstLine="488"/>
        <w:rPr>
          <w:rFonts w:ascii="Times New Roman" w:hAnsi="Times New Roman" w:cs="Times New Roman"/>
          <w:spacing w:val="2"/>
          <w:kern w:val="0"/>
          <w:szCs w:val="24"/>
        </w:rPr>
      </w:pPr>
      <w:r>
        <w:rPr>
          <w:rFonts w:ascii="Times New Roman" w:hAnsi="Times New Roman" w:cs="Times New Roman"/>
          <w:spacing w:val="2"/>
          <w:kern w:val="0"/>
          <w:szCs w:val="24"/>
        </w:rPr>
        <w:t>综上所述，本项目危险性物质主要根据《建设项目环境风险评价技术导则》（HJ/T169-2004）及《危险化学品重大危险源辨识》（GB18218-2009），根据火灾爆炸危险指数和最大储存量，确定火灾爆炸因子为电解液。毒性物质根据物质危险指数及各种物质的毒性确定毒性物质主要考虑电解液组分中六氟磷酸锂与水接触或受高热会产生的氟化氢。</w:t>
      </w:r>
    </w:p>
    <w:p>
      <w:pPr>
        <w:numPr>
          <w:ilvl w:val="2"/>
          <w:numId w:val="1"/>
        </w:numPr>
        <w:autoSpaceDE w:val="0"/>
        <w:autoSpaceDN w:val="0"/>
        <w:adjustRightInd w:val="0"/>
        <w:snapToGrid w:val="0"/>
        <w:spacing w:line="600" w:lineRule="exact"/>
        <w:ind w:left="0" w:firstLine="0" w:firstLineChars="0"/>
        <w:jc w:val="left"/>
        <w:textAlignment w:val="baseline"/>
        <w:outlineLvl w:val="2"/>
        <w:rPr>
          <w:rFonts w:ascii="Times New Roman" w:hAnsi="Times New Roman" w:eastAsia="黑体" w:cs="Times New Roman"/>
          <w:snapToGrid w:val="0"/>
          <w:kern w:val="0"/>
          <w:sz w:val="30"/>
          <w:szCs w:val="30"/>
        </w:rPr>
      </w:pPr>
      <w:r>
        <w:rPr>
          <w:rFonts w:ascii="Times New Roman" w:hAnsi="Times New Roman" w:eastAsia="黑体" w:cs="Times New Roman"/>
          <w:b/>
          <w:snapToGrid w:val="0"/>
          <w:kern w:val="0"/>
          <w:sz w:val="28"/>
          <w:szCs w:val="28"/>
        </w:rPr>
        <w:t>重大危险源辨识</w:t>
      </w:r>
    </w:p>
    <w:p>
      <w:pPr>
        <w:kinsoku w:val="0"/>
        <w:overflowPunct w:val="0"/>
        <w:autoSpaceDE w:val="0"/>
        <w:autoSpaceDN w:val="0"/>
        <w:adjustRightInd w:val="0"/>
        <w:spacing w:line="440" w:lineRule="exact"/>
        <w:ind w:firstLine="488"/>
        <w:rPr>
          <w:rFonts w:ascii="Times New Roman" w:hAnsi="Times New Roman" w:cs="Times New Roman"/>
          <w:spacing w:val="2"/>
          <w:kern w:val="0"/>
          <w:szCs w:val="24"/>
        </w:rPr>
      </w:pPr>
      <w:r>
        <w:rPr>
          <w:rFonts w:ascii="Times New Roman" w:hAnsi="Times New Roman" w:cs="Times New Roman"/>
          <w:spacing w:val="2"/>
          <w:kern w:val="0"/>
          <w:szCs w:val="24"/>
        </w:rPr>
        <w:t>根据（GB18218-2009）《危险化学品重大危险源辨识》，在单元内达到和超过《重大危险源辨识标准》标准的临界量时，将作为事故重大危险源。</w:t>
      </w:r>
    </w:p>
    <w:p>
      <w:pPr>
        <w:kinsoku w:val="0"/>
        <w:overflowPunct w:val="0"/>
        <w:autoSpaceDE w:val="0"/>
        <w:autoSpaceDN w:val="0"/>
        <w:adjustRightInd w:val="0"/>
        <w:spacing w:line="440" w:lineRule="exact"/>
        <w:ind w:firstLine="488"/>
        <w:rPr>
          <w:rFonts w:ascii="Times New Roman" w:hAnsi="Times New Roman" w:cs="Times New Roman"/>
          <w:spacing w:val="2"/>
          <w:kern w:val="0"/>
          <w:szCs w:val="24"/>
        </w:rPr>
      </w:pPr>
      <w:r>
        <w:rPr>
          <w:rFonts w:ascii="Times New Roman" w:hAnsi="Times New Roman" w:cs="Times New Roman"/>
          <w:spacing w:val="2"/>
          <w:kern w:val="0"/>
          <w:szCs w:val="24"/>
        </w:rPr>
        <w:t>重大危险源的辨识指标有两种情况：</w:t>
      </w:r>
    </w:p>
    <w:p>
      <w:pPr>
        <w:kinsoku w:val="0"/>
        <w:overflowPunct w:val="0"/>
        <w:autoSpaceDE w:val="0"/>
        <w:autoSpaceDN w:val="0"/>
        <w:adjustRightInd w:val="0"/>
        <w:spacing w:line="440" w:lineRule="exact"/>
        <w:ind w:firstLine="488"/>
        <w:rPr>
          <w:rFonts w:ascii="Times New Roman" w:hAnsi="Times New Roman" w:cs="Times New Roman"/>
          <w:spacing w:val="2"/>
          <w:kern w:val="0"/>
          <w:szCs w:val="24"/>
        </w:rPr>
      </w:pPr>
      <w:r>
        <w:rPr>
          <w:rFonts w:ascii="Times New Roman" w:hAnsi="Times New Roman" w:cs="Times New Roman"/>
          <w:spacing w:val="2"/>
          <w:kern w:val="0"/>
          <w:szCs w:val="24"/>
        </w:rPr>
        <w:t>（1）单元内存在的危险物质为单一品种，则该物质的数量即为单元内危险物质的总量，若等于或超过相应的临界量，则定为重大危险源。</w:t>
      </w:r>
    </w:p>
    <w:p>
      <w:pPr>
        <w:kinsoku w:val="0"/>
        <w:overflowPunct w:val="0"/>
        <w:autoSpaceDE w:val="0"/>
        <w:autoSpaceDN w:val="0"/>
        <w:adjustRightInd w:val="0"/>
        <w:spacing w:line="440" w:lineRule="exact"/>
        <w:ind w:firstLine="488"/>
        <w:rPr>
          <w:rFonts w:ascii="Times New Roman" w:hAnsi="Times New Roman" w:cs="Times New Roman"/>
          <w:spacing w:val="2"/>
          <w:kern w:val="0"/>
          <w:szCs w:val="24"/>
        </w:rPr>
      </w:pPr>
      <w:r>
        <w:rPr>
          <w:rFonts w:ascii="Times New Roman" w:hAnsi="Times New Roman" w:cs="Times New Roman"/>
          <w:spacing w:val="2"/>
          <w:kern w:val="0"/>
          <w:szCs w:val="24"/>
        </w:rPr>
        <w:t>（2）单元内存在的危险物质为多品种时，则按下式计算，若满足下式，则定为重大危险源。</w:t>
      </w:r>
    </w:p>
    <w:p>
      <w:pPr>
        <w:widowControl/>
        <w:ind w:firstLine="480"/>
        <w:jc w:val="center"/>
        <w:rPr>
          <w:rFonts w:ascii="Times New Roman" w:hAnsi="Times New Roman" w:cs="Times New Roman"/>
          <w:kern w:val="0"/>
          <w:szCs w:val="24"/>
        </w:rPr>
      </w:pPr>
      <w:r>
        <w:rPr>
          <w:rFonts w:ascii="Times New Roman" w:hAnsi="Times New Roman" w:cs="Times New Roman"/>
          <w:kern w:val="0"/>
          <w:szCs w:val="24"/>
        </w:rPr>
        <w:drawing>
          <wp:inline distT="0" distB="0" distL="114300" distR="114300">
            <wp:extent cx="2752725" cy="457200"/>
            <wp:effectExtent l="0" t="0" r="9525" b="0"/>
            <wp:docPr id="40" name="图片 6" descr="C:\Users\Administrator\AppData\Roaming\Tencent\Users\532983636\QQ\WinTemp\RichOle\JTDU8Z%{@_F818`U_3NL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6" descr="C:\Users\Administrator\AppData\Roaming\Tencent\Users\532983636\QQ\WinTemp\RichOle\JTDU8Z%{@_F818`U_3NLN`I.png"/>
                    <pic:cNvPicPr>
                      <a:picLocks noChangeAspect="1"/>
                    </pic:cNvPicPr>
                  </pic:nvPicPr>
                  <pic:blipFill>
                    <a:blip r:embed="rId19"/>
                    <a:stretch>
                      <a:fillRect/>
                    </a:stretch>
                  </pic:blipFill>
                  <pic:spPr>
                    <a:xfrm>
                      <a:off x="0" y="0"/>
                      <a:ext cx="2752725" cy="457200"/>
                    </a:xfrm>
                    <a:prstGeom prst="rect">
                      <a:avLst/>
                    </a:prstGeom>
                    <a:noFill/>
                    <a:ln w="9525">
                      <a:noFill/>
                    </a:ln>
                  </pic:spPr>
                </pic:pic>
              </a:graphicData>
            </a:graphic>
          </wp:inline>
        </w:drawing>
      </w:r>
    </w:p>
    <w:p>
      <w:pPr>
        <w:kinsoku w:val="0"/>
        <w:overflowPunct w:val="0"/>
        <w:autoSpaceDE w:val="0"/>
        <w:autoSpaceDN w:val="0"/>
        <w:adjustRightInd w:val="0"/>
        <w:spacing w:line="440" w:lineRule="exact"/>
        <w:ind w:firstLine="480"/>
        <w:rPr>
          <w:rFonts w:ascii="Times New Roman" w:hAnsi="Times New Roman" w:cs="Times New Roman"/>
          <w:spacing w:val="2"/>
          <w:kern w:val="0"/>
          <w:szCs w:val="24"/>
        </w:rPr>
      </w:pPr>
      <w:r>
        <w:rPr>
          <w:rFonts w:ascii="Times New Roman" w:hAnsi="Times New Roman" w:cs="Times New Roman"/>
        </w:rPr>
        <mc:AlternateContent>
          <mc:Choice Requires="wps">
            <w:drawing>
              <wp:anchor distT="0" distB="0" distL="114300" distR="114300" simplePos="0" relativeHeight="251662336" behindDoc="1" locked="0" layoutInCell="0" allowOverlap="1">
                <wp:simplePos x="0" y="0"/>
                <wp:positionH relativeFrom="page">
                  <wp:posOffset>4200525</wp:posOffset>
                </wp:positionH>
                <wp:positionV relativeFrom="paragraph">
                  <wp:posOffset>-40640</wp:posOffset>
                </wp:positionV>
                <wp:extent cx="196215" cy="12700"/>
                <wp:effectExtent l="0" t="0" r="0" b="0"/>
                <wp:wrapNone/>
                <wp:docPr id="350" name="任意多边形 350"/>
                <wp:cNvGraphicFramePr/>
                <a:graphic xmlns:a="http://schemas.openxmlformats.org/drawingml/2006/main">
                  <a:graphicData uri="http://schemas.microsoft.com/office/word/2010/wordprocessingShape">
                    <wps:wsp>
                      <wps:cNvSpPr/>
                      <wps:spPr bwMode="auto">
                        <a:xfrm>
                          <a:off x="0" y="0"/>
                          <a:ext cx="196215" cy="12700"/>
                        </a:xfrm>
                        <a:custGeom>
                          <a:avLst/>
                          <a:gdLst>
                            <a:gd name="T0" fmla="*/ 0 w 309"/>
                            <a:gd name="T1" fmla="*/ 0 h 20"/>
                            <a:gd name="T2" fmla="*/ 308 w 309"/>
                            <a:gd name="T3" fmla="*/ 0 h 20"/>
                          </a:gdLst>
                          <a:ahLst/>
                          <a:cxnLst>
                            <a:cxn ang="0">
                              <a:pos x="T0" y="T1"/>
                            </a:cxn>
                            <a:cxn ang="0">
                              <a:pos x="T2" y="T3"/>
                            </a:cxn>
                          </a:cxnLst>
                          <a:rect l="0" t="0" r="r" b="b"/>
                          <a:pathLst>
                            <a:path w="309" h="20">
                              <a:moveTo>
                                <a:pt x="0" y="0"/>
                              </a:moveTo>
                              <a:lnTo>
                                <a:pt x="308" y="0"/>
                              </a:lnTo>
                            </a:path>
                          </a:pathLst>
                        </a:custGeom>
                        <a:noFill/>
                        <a:ln w="402">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330.75pt;margin-top:-3.2pt;height:1pt;width:15.45pt;mso-position-horizontal-relative:page;z-index:-251654144;mso-width-relative:page;mso-height-relative:page;" filled="f" stroked="t" coordsize="309,20" o:allowincell="f" o:gfxdata="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DQ+HYm1gAAAAkBAAAPAAAAAAAAAAEAIAAAACIAAABkcnMvZG93bnJldi54bWxQ&#10;SwECFAAUAAAACACHTuJA6tEHpKQCAACFBQAADgAAAAAAAAABACAAAAAlAQAAZHJzL2Uyb0RvYy54&#10;bWxQSwUGAAAAAAYABgBZAQAAOwYAAAAA&#10;" path="m0,0l308,0e">
                <v:path o:connectlocs="0,0;195580,0" o:connectangles="0,0"/>
                <v:fill on="f" focussize="0,0"/>
                <v:stroke weight="0.0316535433070866pt" color="#000000" joinstyle="round"/>
                <v:imagedata o:title=""/>
                <o:lock v:ext="edit" aspectratio="f"/>
              </v:shape>
            </w:pict>
          </mc:Fallback>
        </mc:AlternateContent>
      </w:r>
      <w:r>
        <w:rPr>
          <w:rFonts w:ascii="Times New Roman" w:hAnsi="Times New Roman" w:cs="Times New Roman"/>
          <w:spacing w:val="2"/>
          <w:kern w:val="0"/>
          <w:szCs w:val="24"/>
        </w:rPr>
        <w:t>式中：q</w:t>
      </w:r>
      <w:r>
        <w:rPr>
          <w:rFonts w:ascii="Times New Roman" w:hAnsi="Times New Roman" w:cs="Times New Roman"/>
          <w:spacing w:val="2"/>
          <w:kern w:val="0"/>
          <w:szCs w:val="24"/>
          <w:vertAlign w:val="subscript"/>
        </w:rPr>
        <w:t>1</w:t>
      </w:r>
      <w:r>
        <w:rPr>
          <w:rFonts w:ascii="Times New Roman" w:hAnsi="Times New Roman" w:cs="Times New Roman"/>
          <w:spacing w:val="2"/>
          <w:kern w:val="0"/>
          <w:szCs w:val="24"/>
        </w:rPr>
        <w:t>，q</w:t>
      </w:r>
      <w:r>
        <w:rPr>
          <w:rFonts w:ascii="Times New Roman" w:hAnsi="Times New Roman" w:cs="Times New Roman"/>
          <w:spacing w:val="2"/>
          <w:kern w:val="0"/>
          <w:szCs w:val="24"/>
          <w:vertAlign w:val="subscript"/>
        </w:rPr>
        <w:t>2</w:t>
      </w:r>
      <w:r>
        <w:rPr>
          <w:rFonts w:ascii="Times New Roman" w:hAnsi="Times New Roman" w:cs="Times New Roman"/>
          <w:spacing w:val="2"/>
          <w:kern w:val="0"/>
          <w:szCs w:val="24"/>
        </w:rPr>
        <w:t>…，q</w:t>
      </w:r>
      <w:r>
        <w:rPr>
          <w:rFonts w:ascii="Times New Roman" w:hAnsi="Times New Roman" w:cs="Times New Roman"/>
          <w:spacing w:val="2"/>
          <w:kern w:val="0"/>
          <w:szCs w:val="24"/>
          <w:vertAlign w:val="subscript"/>
        </w:rPr>
        <w:t>n</w:t>
      </w:r>
      <w:r>
        <w:rPr>
          <w:rFonts w:ascii="Times New Roman" w:hAnsi="Times New Roman" w:cs="Times New Roman"/>
          <w:spacing w:val="2"/>
          <w:kern w:val="0"/>
          <w:szCs w:val="24"/>
        </w:rPr>
        <w:t xml:space="preserve">    为每种危险物质实际存在量，t。</w:t>
      </w:r>
    </w:p>
    <w:p>
      <w:pPr>
        <w:kinsoku w:val="0"/>
        <w:overflowPunct w:val="0"/>
        <w:autoSpaceDE w:val="0"/>
        <w:autoSpaceDN w:val="0"/>
        <w:adjustRightInd w:val="0"/>
        <w:spacing w:line="440" w:lineRule="exact"/>
        <w:ind w:firstLine="488"/>
        <w:rPr>
          <w:rFonts w:ascii="Times New Roman" w:hAnsi="Times New Roman" w:cs="Times New Roman"/>
          <w:spacing w:val="2"/>
          <w:kern w:val="0"/>
          <w:szCs w:val="24"/>
        </w:rPr>
      </w:pPr>
      <w:r>
        <w:rPr>
          <w:rFonts w:ascii="Times New Roman" w:hAnsi="Times New Roman" w:cs="Times New Roman"/>
          <w:spacing w:val="2"/>
          <w:kern w:val="0"/>
          <w:szCs w:val="24"/>
        </w:rPr>
        <w:t>Q</w:t>
      </w:r>
      <w:r>
        <w:rPr>
          <w:rFonts w:ascii="Times New Roman" w:hAnsi="Times New Roman" w:cs="Times New Roman"/>
          <w:spacing w:val="2"/>
          <w:kern w:val="0"/>
          <w:szCs w:val="24"/>
          <w:vertAlign w:val="subscript"/>
        </w:rPr>
        <w:t>1</w:t>
      </w:r>
      <w:r>
        <w:rPr>
          <w:rFonts w:ascii="Times New Roman" w:hAnsi="Times New Roman" w:cs="Times New Roman"/>
          <w:spacing w:val="2"/>
          <w:kern w:val="0"/>
          <w:szCs w:val="24"/>
        </w:rPr>
        <w:t>,Q</w:t>
      </w:r>
      <w:r>
        <w:rPr>
          <w:rFonts w:ascii="Times New Roman" w:hAnsi="Times New Roman" w:cs="Times New Roman"/>
          <w:spacing w:val="2"/>
          <w:kern w:val="0"/>
          <w:szCs w:val="24"/>
          <w:vertAlign w:val="subscript"/>
        </w:rPr>
        <w:t>2</w:t>
      </w:r>
      <w:r>
        <w:rPr>
          <w:rFonts w:ascii="Times New Roman" w:hAnsi="Times New Roman" w:cs="Times New Roman"/>
          <w:spacing w:val="2"/>
          <w:kern w:val="0"/>
          <w:szCs w:val="24"/>
        </w:rPr>
        <w:t>…Qn 为与各危险物质相对应的生产场所或贮存区的临界量t。项目的重大危险源判定见表1.1-3。</w:t>
      </w:r>
    </w:p>
    <w:p>
      <w:pPr>
        <w:tabs>
          <w:tab w:val="left" w:pos="4358"/>
        </w:tabs>
        <w:kinsoku w:val="0"/>
        <w:overflowPunct w:val="0"/>
        <w:autoSpaceDE w:val="0"/>
        <w:autoSpaceDN w:val="0"/>
        <w:adjustRightInd w:val="0"/>
        <w:ind w:firstLine="503"/>
        <w:jc w:val="center"/>
        <w:outlineLvl w:val="8"/>
        <w:rPr>
          <w:rFonts w:ascii="Times New Roman" w:hAnsi="Times New Roman" w:eastAsia="黑体" w:cs="Times New Roman"/>
          <w:bCs/>
          <w:w w:val="105"/>
          <w:kern w:val="0"/>
          <w:szCs w:val="24"/>
        </w:rPr>
      </w:pPr>
      <w:r>
        <w:rPr>
          <w:rFonts w:ascii="Times New Roman" w:hAnsi="Times New Roman" w:eastAsia="黑体" w:cs="Times New Roman"/>
          <w:bCs/>
          <w:w w:val="105"/>
          <w:kern w:val="0"/>
          <w:szCs w:val="24"/>
        </w:rPr>
        <w:t>表 1.2-4  重大危险源辨识情况一览表</w:t>
      </w:r>
    </w:p>
    <w:tbl>
      <w:tblPr>
        <w:tblStyle w:val="11"/>
        <w:tblW w:w="8438" w:type="dxa"/>
        <w:jc w:val="center"/>
        <w:tblInd w:w="154" w:type="dxa"/>
        <w:tblLayout w:type="fixed"/>
        <w:tblCellMar>
          <w:top w:w="0" w:type="dxa"/>
          <w:left w:w="0" w:type="dxa"/>
          <w:bottom w:w="0" w:type="dxa"/>
          <w:right w:w="0" w:type="dxa"/>
        </w:tblCellMar>
      </w:tblPr>
      <w:tblGrid>
        <w:gridCol w:w="1015"/>
        <w:gridCol w:w="1663"/>
        <w:gridCol w:w="1994"/>
        <w:gridCol w:w="1880"/>
        <w:gridCol w:w="1886"/>
      </w:tblGrid>
      <w:tr>
        <w:tblPrEx>
          <w:tblLayout w:type="fixed"/>
          <w:tblCellMar>
            <w:top w:w="0" w:type="dxa"/>
            <w:left w:w="0" w:type="dxa"/>
            <w:bottom w:w="0" w:type="dxa"/>
            <w:right w:w="0" w:type="dxa"/>
          </w:tblCellMar>
        </w:tblPrEx>
        <w:trPr>
          <w:trHeight w:val="367" w:hRule="exact"/>
          <w:jc w:val="center"/>
        </w:trPr>
        <w:tc>
          <w:tcPr>
            <w:tcW w:w="1015" w:type="dxa"/>
            <w:tcBorders>
              <w:top w:val="single" w:color="000000" w:sz="10" w:space="0"/>
              <w:left w:val="nil"/>
              <w:bottom w:val="single" w:color="000000" w:sz="4" w:space="0"/>
              <w:right w:val="single" w:color="000000" w:sz="4" w:space="0"/>
            </w:tcBorders>
            <w:vAlign w:val="center"/>
          </w:tcPr>
          <w:p>
            <w:pPr>
              <w:kinsoku w:val="0"/>
              <w:overflowPunct w:val="0"/>
              <w:autoSpaceDE w:val="0"/>
              <w:autoSpaceDN w:val="0"/>
              <w:adjustRightIn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序号</w:t>
            </w:r>
          </w:p>
        </w:tc>
        <w:tc>
          <w:tcPr>
            <w:tcW w:w="1663" w:type="dxa"/>
            <w:tcBorders>
              <w:top w:val="single" w:color="000000" w:sz="10"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物质名称</w:t>
            </w:r>
          </w:p>
        </w:tc>
        <w:tc>
          <w:tcPr>
            <w:tcW w:w="1994" w:type="dxa"/>
            <w:tcBorders>
              <w:top w:val="single" w:color="000000" w:sz="10"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临界量（t）</w:t>
            </w:r>
          </w:p>
        </w:tc>
        <w:tc>
          <w:tcPr>
            <w:tcW w:w="1880" w:type="dxa"/>
            <w:tcBorders>
              <w:top w:val="single" w:color="000000" w:sz="10"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最大储存量（t）</w:t>
            </w:r>
          </w:p>
        </w:tc>
        <w:tc>
          <w:tcPr>
            <w:tcW w:w="1886" w:type="dxa"/>
            <w:tcBorders>
              <w:top w:val="single" w:color="000000" w:sz="10" w:space="0"/>
              <w:left w:val="single" w:color="000000" w:sz="4" w:space="0"/>
              <w:bottom w:val="single" w:color="000000" w:sz="4" w:space="0"/>
              <w:right w:val="nil"/>
            </w:tcBorders>
            <w:vAlign w:val="center"/>
          </w:tcPr>
          <w:p>
            <w:pPr>
              <w:kinsoku w:val="0"/>
              <w:overflowPunct w:val="0"/>
              <w:autoSpaceDE w:val="0"/>
              <w:autoSpaceDN w:val="0"/>
              <w:adjustRightIn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储存方式</w:t>
            </w:r>
          </w:p>
        </w:tc>
      </w:tr>
      <w:tr>
        <w:tblPrEx>
          <w:tblLayout w:type="fixed"/>
          <w:tblCellMar>
            <w:top w:w="0" w:type="dxa"/>
            <w:left w:w="0" w:type="dxa"/>
            <w:bottom w:w="0" w:type="dxa"/>
            <w:right w:w="0" w:type="dxa"/>
          </w:tblCellMar>
        </w:tblPrEx>
        <w:trPr>
          <w:trHeight w:val="360" w:hRule="exact"/>
          <w:jc w:val="center"/>
        </w:trPr>
        <w:tc>
          <w:tcPr>
            <w:tcW w:w="1015" w:type="dxa"/>
            <w:tcBorders>
              <w:top w:val="single" w:color="000000" w:sz="4" w:space="0"/>
              <w:left w:val="nil"/>
              <w:bottom w:val="single" w:color="000000" w:sz="10" w:space="0"/>
              <w:right w:val="single" w:color="000000" w:sz="4" w:space="0"/>
            </w:tcBorders>
            <w:vAlign w:val="center"/>
          </w:tcPr>
          <w:p>
            <w:pPr>
              <w:kinsoku w:val="0"/>
              <w:overflowPunct w:val="0"/>
              <w:autoSpaceDE w:val="0"/>
              <w:autoSpaceDN w:val="0"/>
              <w:adjustRightIn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w:t>
            </w:r>
          </w:p>
        </w:tc>
        <w:tc>
          <w:tcPr>
            <w:tcW w:w="1663" w:type="dxa"/>
            <w:tcBorders>
              <w:top w:val="single" w:color="000000" w:sz="4" w:space="0"/>
              <w:left w:val="single" w:color="000000" w:sz="4" w:space="0"/>
              <w:bottom w:val="single" w:color="000000" w:sz="10" w:space="0"/>
              <w:right w:val="single" w:color="000000" w:sz="4" w:space="0"/>
            </w:tcBorders>
            <w:vAlign w:val="center"/>
          </w:tcPr>
          <w:p>
            <w:pPr>
              <w:kinsoku w:val="0"/>
              <w:overflowPunct w:val="0"/>
              <w:autoSpaceDE w:val="0"/>
              <w:autoSpaceDN w:val="0"/>
              <w:adjustRightIn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电解液</w:t>
            </w:r>
          </w:p>
        </w:tc>
        <w:tc>
          <w:tcPr>
            <w:tcW w:w="1994" w:type="dxa"/>
            <w:tcBorders>
              <w:top w:val="single" w:color="000000" w:sz="4" w:space="0"/>
              <w:left w:val="single" w:color="000000" w:sz="4" w:space="0"/>
              <w:bottom w:val="single" w:color="000000" w:sz="10" w:space="0"/>
              <w:right w:val="single" w:color="000000" w:sz="4" w:space="0"/>
            </w:tcBorders>
            <w:vAlign w:val="center"/>
          </w:tcPr>
          <w:p>
            <w:pPr>
              <w:kinsoku w:val="0"/>
              <w:overflowPunct w:val="0"/>
              <w:autoSpaceDE w:val="0"/>
              <w:autoSpaceDN w:val="0"/>
              <w:adjustRightIn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1000</w:t>
            </w:r>
          </w:p>
        </w:tc>
        <w:tc>
          <w:tcPr>
            <w:tcW w:w="1880" w:type="dxa"/>
            <w:tcBorders>
              <w:top w:val="single" w:color="000000" w:sz="4" w:space="0"/>
              <w:left w:val="single" w:color="000000" w:sz="4" w:space="0"/>
              <w:bottom w:val="single" w:color="000000" w:sz="10" w:space="0"/>
              <w:right w:val="single" w:color="000000" w:sz="4" w:space="0"/>
            </w:tcBorders>
            <w:vAlign w:val="center"/>
          </w:tcPr>
          <w:p>
            <w:pPr>
              <w:kinsoku w:val="0"/>
              <w:overflowPunct w:val="0"/>
              <w:autoSpaceDE w:val="0"/>
              <w:autoSpaceDN w:val="0"/>
              <w:adjustRightIn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110</w:t>
            </w:r>
          </w:p>
        </w:tc>
        <w:tc>
          <w:tcPr>
            <w:tcW w:w="1886" w:type="dxa"/>
            <w:tcBorders>
              <w:top w:val="single" w:color="000000" w:sz="4" w:space="0"/>
              <w:left w:val="single" w:color="000000" w:sz="4" w:space="0"/>
              <w:bottom w:val="single" w:color="000000" w:sz="10" w:space="0"/>
              <w:right w:val="nil"/>
            </w:tcBorders>
            <w:vAlign w:val="center"/>
          </w:tcPr>
          <w:p>
            <w:pPr>
              <w:kinsoku w:val="0"/>
              <w:overflowPunct w:val="0"/>
              <w:autoSpaceDE w:val="0"/>
              <w:autoSpaceDN w:val="0"/>
              <w:adjustRightIn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1000kg 桶装</w:t>
            </w:r>
          </w:p>
        </w:tc>
      </w:tr>
    </w:tbl>
    <w:p>
      <w:pPr>
        <w:kinsoku w:val="0"/>
        <w:overflowPunct w:val="0"/>
        <w:autoSpaceDE w:val="0"/>
        <w:autoSpaceDN w:val="0"/>
        <w:adjustRightInd w:val="0"/>
        <w:spacing w:line="440" w:lineRule="exact"/>
        <w:ind w:firstLine="488"/>
        <w:rPr>
          <w:rFonts w:ascii="Times New Roman" w:hAnsi="Times New Roman" w:cs="Times New Roman"/>
          <w:spacing w:val="2"/>
          <w:kern w:val="0"/>
          <w:szCs w:val="24"/>
        </w:rPr>
      </w:pPr>
      <w:r>
        <w:rPr>
          <w:rFonts w:ascii="Times New Roman" w:hAnsi="Times New Roman" w:cs="Times New Roman"/>
          <w:spacing w:val="2"/>
          <w:kern w:val="0"/>
          <w:szCs w:val="24"/>
        </w:rPr>
        <w:t>本项目存在的危险化学品重大危险源物质有：电解液，经计算：110/1000=0.11＜1由上式计算结果可知，本项目不构成了重大危险源。</w:t>
      </w:r>
    </w:p>
    <w:p>
      <w:pPr>
        <w:spacing w:line="440" w:lineRule="exact"/>
        <w:ind w:firstLine="488"/>
        <w:rPr>
          <w:rFonts w:ascii="Times New Roman" w:hAnsi="Times New Roman" w:cs="Times New Roman"/>
        </w:rPr>
      </w:pPr>
      <w:r>
        <w:rPr>
          <w:rFonts w:ascii="Times New Roman" w:hAnsi="Times New Roman" w:cs="Times New Roman"/>
          <w:spacing w:val="2"/>
          <w:kern w:val="0"/>
          <w:szCs w:val="24"/>
        </w:rPr>
        <w:t>从以上分析结果，本项目原辅材料无爆炸性物质，也没有对应的临界量标准，因此本项目装卸货区、物流场地等均不构成重大危险源。</w:t>
      </w:r>
    </w:p>
    <w:p>
      <w:pPr>
        <w:numPr>
          <w:ilvl w:val="1"/>
          <w:numId w:val="1"/>
        </w:numPr>
        <w:autoSpaceDE w:val="0"/>
        <w:autoSpaceDN w:val="0"/>
        <w:adjustRightInd w:val="0"/>
        <w:snapToGrid w:val="0"/>
        <w:spacing w:line="600" w:lineRule="exact"/>
        <w:ind w:left="1072" w:hanging="1072" w:firstLineChars="0"/>
        <w:jc w:val="left"/>
        <w:textAlignment w:val="baseline"/>
        <w:outlineLvl w:val="1"/>
        <w:rPr>
          <w:rFonts w:ascii="Times New Roman" w:hAnsi="Times New Roman" w:eastAsia="黑体" w:cs="Times New Roman"/>
          <w:b/>
          <w:bCs/>
          <w:sz w:val="30"/>
          <w:szCs w:val="32"/>
        </w:rPr>
      </w:pPr>
      <w:bookmarkStart w:id="6" w:name="_Toc422308954"/>
      <w:r>
        <w:rPr>
          <w:rFonts w:ascii="Times New Roman" w:hAnsi="Times New Roman" w:eastAsia="黑体" w:cs="Times New Roman"/>
          <w:b/>
          <w:bCs/>
          <w:sz w:val="30"/>
          <w:szCs w:val="32"/>
        </w:rPr>
        <w:t>评价等级判定</w:t>
      </w:r>
      <w:bookmarkEnd w:id="6"/>
    </w:p>
    <w:p>
      <w:pPr>
        <w:spacing w:line="440" w:lineRule="exact"/>
        <w:ind w:firstLine="503"/>
        <w:rPr>
          <w:rFonts w:ascii="Times New Roman" w:hAnsi="Times New Roman" w:cs="Times New Roman"/>
          <w:w w:val="105"/>
        </w:rPr>
      </w:pPr>
      <w:r>
        <w:rPr>
          <w:rFonts w:ascii="Times New Roman" w:hAnsi="Times New Roman" w:cs="Times New Roman"/>
          <w:w w:val="105"/>
        </w:rPr>
        <w:t>根据评价项目的物质危险性和功能单元重大危险源判定结果，以及环境敏感</w:t>
      </w:r>
      <w:r>
        <w:rPr>
          <w:rFonts w:ascii="Times New Roman" w:hAnsi="Times New Roman" w:cs="Times New Roman"/>
          <w:spacing w:val="-1"/>
        </w:rPr>
        <w:t>程度等因素，项目不存在重大危险源，项目所在地不属于环境敏感区域。依据导</w:t>
      </w:r>
      <w:r>
        <w:rPr>
          <w:rFonts w:ascii="Times New Roman" w:hAnsi="Times New Roman" w:cs="Times New Roman"/>
          <w:spacing w:val="59"/>
        </w:rPr>
        <w:t xml:space="preserve"> </w:t>
      </w:r>
      <w:r>
        <w:rPr>
          <w:rFonts w:ascii="Times New Roman" w:hAnsi="Times New Roman" w:cs="Times New Roman"/>
          <w:w w:val="105"/>
        </w:rPr>
        <w:t>则规定，本项目风险评价等级为二级。</w:t>
      </w:r>
    </w:p>
    <w:p>
      <w:pPr>
        <w:spacing w:line="440" w:lineRule="exact"/>
        <w:ind w:firstLine="503"/>
        <w:rPr>
          <w:rFonts w:ascii="Times New Roman" w:hAnsi="Times New Roman" w:cs="Times New Roman"/>
          <w:w w:val="105"/>
        </w:rPr>
      </w:pPr>
    </w:p>
    <w:p>
      <w:pPr>
        <w:spacing w:line="440" w:lineRule="exact"/>
        <w:ind w:firstLine="480"/>
        <w:rPr>
          <w:rFonts w:ascii="Times New Roman" w:hAnsi="Times New Roman" w:cs="Times New Roman"/>
        </w:rPr>
      </w:pPr>
    </w:p>
    <w:p>
      <w:pPr>
        <w:snapToGrid w:val="0"/>
        <w:spacing w:line="560" w:lineRule="exact"/>
        <w:ind w:firstLine="480" w:firstLineChars="0"/>
        <w:jc w:val="center"/>
        <w:rPr>
          <w:rFonts w:ascii="Times New Roman" w:hAnsi="Times New Roman" w:eastAsia="黑体" w:cs="Times New Roman"/>
          <w:snapToGrid w:val="0"/>
          <w:kern w:val="0"/>
          <w:szCs w:val="24"/>
        </w:rPr>
      </w:pPr>
      <w:r>
        <w:rPr>
          <w:rFonts w:ascii="Times New Roman" w:hAnsi="Times New Roman" w:eastAsia="黑体" w:cs="Times New Roman"/>
          <w:snapToGrid w:val="0"/>
          <w:kern w:val="0"/>
          <w:szCs w:val="24"/>
        </w:rPr>
        <w:t>环境风险评价判定表</w:t>
      </w:r>
    </w:p>
    <w:p>
      <w:pPr>
        <w:snapToGrid w:val="0"/>
        <w:spacing w:line="0" w:lineRule="atLeast"/>
        <w:ind w:firstLine="0" w:firstLineChars="0"/>
        <w:jc w:val="left"/>
        <w:rPr>
          <w:rFonts w:ascii="Times New Roman" w:hAnsi="Times New Roman" w:cs="Times New Roman"/>
          <w:snapToGrid w:val="0"/>
          <w:kern w:val="0"/>
          <w:sz w:val="21"/>
          <w:szCs w:val="24"/>
        </w:rPr>
      </w:pPr>
      <w:r>
        <w:rPr>
          <w:rFonts w:ascii="Times New Roman" w:hAnsi="Times New Roman" w:cs="Times New Roman"/>
          <w:snapToGrid w:val="0"/>
          <w:kern w:val="0"/>
          <w:sz w:val="21"/>
          <w:szCs w:val="24"/>
        </w:rPr>
        <w:t xml:space="preserve">表1.3-1 </w:t>
      </w:r>
    </w:p>
    <w:tbl>
      <w:tblPr>
        <w:tblStyle w:val="11"/>
        <w:tblW w:w="8805" w:type="dxa"/>
        <w:tblInd w:w="114" w:type="dxa"/>
        <w:tblLayout w:type="fixed"/>
        <w:tblCellMar>
          <w:top w:w="0" w:type="dxa"/>
          <w:left w:w="0" w:type="dxa"/>
          <w:bottom w:w="0" w:type="dxa"/>
          <w:right w:w="0" w:type="dxa"/>
        </w:tblCellMar>
      </w:tblPr>
      <w:tblGrid>
        <w:gridCol w:w="1659"/>
        <w:gridCol w:w="1865"/>
        <w:gridCol w:w="1699"/>
        <w:gridCol w:w="1829"/>
        <w:gridCol w:w="1753"/>
      </w:tblGrid>
      <w:tr>
        <w:tblPrEx>
          <w:tblLayout w:type="fixed"/>
          <w:tblCellMar>
            <w:top w:w="0" w:type="dxa"/>
            <w:left w:w="0" w:type="dxa"/>
            <w:bottom w:w="0" w:type="dxa"/>
            <w:right w:w="0" w:type="dxa"/>
          </w:tblCellMar>
        </w:tblPrEx>
        <w:trPr>
          <w:trHeight w:val="565" w:hRule="exact"/>
        </w:trPr>
        <w:tc>
          <w:tcPr>
            <w:tcW w:w="1659" w:type="dxa"/>
            <w:tcBorders>
              <w:top w:val="single" w:color="000000" w:sz="10" w:space="0"/>
              <w:left w:val="nil"/>
              <w:bottom w:val="single" w:color="000000" w:sz="2" w:space="0"/>
              <w:right w:val="single" w:color="000000" w:sz="2" w:space="0"/>
            </w:tcBorders>
          </w:tcPr>
          <w:p>
            <w:pPr>
              <w:spacing w:line="240" w:lineRule="exact"/>
              <w:ind w:firstLine="0" w:firstLineChars="0"/>
              <w:jc w:val="center"/>
              <w:rPr>
                <w:rFonts w:ascii="Times New Roman" w:hAnsi="Times New Roman" w:cs="Times New Roman"/>
                <w:bCs/>
                <w:kern w:val="0"/>
                <w:sz w:val="21"/>
              </w:rPr>
            </w:pPr>
          </w:p>
        </w:tc>
        <w:tc>
          <w:tcPr>
            <w:tcW w:w="1865" w:type="dxa"/>
            <w:tcBorders>
              <w:top w:val="single" w:color="000000" w:sz="10" w:space="0"/>
              <w:left w:val="single" w:color="000000" w:sz="2" w:space="0"/>
              <w:bottom w:val="single" w:color="000000" w:sz="2" w:space="0"/>
              <w:right w:val="single" w:color="000000" w:sz="2" w:space="0"/>
            </w:tcBorders>
          </w:tcPr>
          <w:p>
            <w:pPr>
              <w:pStyle w:val="15"/>
              <w:kinsoku w:val="0"/>
              <w:overflowPunct w:val="0"/>
              <w:spacing w:line="240" w:lineRule="exact"/>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剧毒危险性</w:t>
            </w:r>
          </w:p>
          <w:p>
            <w:pPr>
              <w:pStyle w:val="15"/>
              <w:kinsoku w:val="0"/>
              <w:overflowPunct w:val="0"/>
              <w:spacing w:line="240" w:lineRule="exact"/>
              <w:ind w:right="5" w:firstLine="0" w:firstLineChars="0"/>
              <w:jc w:val="center"/>
              <w:rPr>
                <w:rFonts w:ascii="Times New Roman" w:hAnsi="Times New Roman" w:cs="Times New Roman"/>
                <w:bCs/>
                <w:sz w:val="21"/>
                <w:szCs w:val="20"/>
              </w:rPr>
            </w:pPr>
            <w:r>
              <w:rPr>
                <w:rFonts w:ascii="Times New Roman" w:hAnsi="Times New Roman" w:cs="Times New Roman"/>
                <w:bCs/>
                <w:sz w:val="21"/>
                <w:szCs w:val="20"/>
              </w:rPr>
              <w:t>物质</w:t>
            </w:r>
          </w:p>
        </w:tc>
        <w:tc>
          <w:tcPr>
            <w:tcW w:w="1699" w:type="dxa"/>
            <w:tcBorders>
              <w:top w:val="single" w:color="000000" w:sz="10" w:space="0"/>
              <w:left w:val="single" w:color="000000" w:sz="2" w:space="0"/>
              <w:bottom w:val="single" w:color="000000" w:sz="2" w:space="0"/>
              <w:right w:val="single" w:color="000000" w:sz="2" w:space="0"/>
            </w:tcBorders>
          </w:tcPr>
          <w:p>
            <w:pPr>
              <w:pStyle w:val="15"/>
              <w:kinsoku w:val="0"/>
              <w:overflowPunct w:val="0"/>
              <w:spacing w:line="240" w:lineRule="exact"/>
              <w:ind w:left="424" w:firstLine="0" w:firstLineChars="0"/>
              <w:jc w:val="center"/>
              <w:rPr>
                <w:rFonts w:ascii="Times New Roman" w:hAnsi="Times New Roman" w:cs="Times New Roman"/>
                <w:bCs/>
                <w:sz w:val="21"/>
                <w:szCs w:val="20"/>
              </w:rPr>
            </w:pPr>
            <w:r>
              <w:rPr>
                <w:rFonts w:ascii="Times New Roman" w:hAnsi="Times New Roman" w:cs="Times New Roman"/>
                <w:bCs/>
                <w:sz w:val="21"/>
                <w:szCs w:val="20"/>
              </w:rPr>
              <w:t>一般毒性</w:t>
            </w:r>
          </w:p>
          <w:p>
            <w:pPr>
              <w:pStyle w:val="15"/>
              <w:kinsoku w:val="0"/>
              <w:overflowPunct w:val="0"/>
              <w:spacing w:line="240" w:lineRule="exact"/>
              <w:ind w:left="424" w:firstLine="0" w:firstLineChars="0"/>
              <w:jc w:val="center"/>
              <w:rPr>
                <w:rFonts w:ascii="Times New Roman" w:hAnsi="Times New Roman" w:cs="Times New Roman"/>
                <w:bCs/>
                <w:sz w:val="21"/>
                <w:szCs w:val="20"/>
              </w:rPr>
            </w:pPr>
            <w:r>
              <w:rPr>
                <w:rFonts w:ascii="Times New Roman" w:hAnsi="Times New Roman" w:cs="Times New Roman"/>
                <w:bCs/>
                <w:sz w:val="21"/>
                <w:szCs w:val="20"/>
              </w:rPr>
              <w:t>危险物质</w:t>
            </w:r>
          </w:p>
        </w:tc>
        <w:tc>
          <w:tcPr>
            <w:tcW w:w="1829" w:type="dxa"/>
            <w:tcBorders>
              <w:top w:val="single" w:color="000000" w:sz="10" w:space="0"/>
              <w:left w:val="single" w:color="000000" w:sz="2" w:space="0"/>
              <w:bottom w:val="single" w:color="000000" w:sz="2" w:space="0"/>
              <w:right w:val="single" w:color="000000" w:sz="2" w:space="0"/>
            </w:tcBorders>
          </w:tcPr>
          <w:p>
            <w:pPr>
              <w:pStyle w:val="15"/>
              <w:kinsoku w:val="0"/>
              <w:overflowPunct w:val="0"/>
              <w:spacing w:line="240" w:lineRule="exact"/>
              <w:ind w:left="6" w:firstLine="0" w:firstLineChars="0"/>
              <w:jc w:val="center"/>
              <w:rPr>
                <w:rFonts w:ascii="Times New Roman" w:hAnsi="Times New Roman" w:cs="Times New Roman"/>
                <w:bCs/>
                <w:sz w:val="21"/>
                <w:szCs w:val="20"/>
              </w:rPr>
            </w:pPr>
            <w:r>
              <w:rPr>
                <w:rFonts w:ascii="Times New Roman" w:hAnsi="Times New Roman" w:cs="Times New Roman"/>
                <w:bCs/>
                <w:sz w:val="21"/>
                <w:szCs w:val="20"/>
              </w:rPr>
              <w:t>可燃、易燃危险性</w:t>
            </w:r>
          </w:p>
          <w:p>
            <w:pPr>
              <w:pStyle w:val="15"/>
              <w:kinsoku w:val="0"/>
              <w:overflowPunct w:val="0"/>
              <w:spacing w:line="240" w:lineRule="exact"/>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物质</w:t>
            </w:r>
          </w:p>
        </w:tc>
        <w:tc>
          <w:tcPr>
            <w:tcW w:w="1753" w:type="dxa"/>
            <w:tcBorders>
              <w:top w:val="single" w:color="000000" w:sz="10" w:space="0"/>
              <w:left w:val="single" w:color="000000" w:sz="2" w:space="0"/>
              <w:bottom w:val="single" w:color="000000" w:sz="2" w:space="0"/>
              <w:right w:val="nil"/>
            </w:tcBorders>
          </w:tcPr>
          <w:p>
            <w:pPr>
              <w:pStyle w:val="15"/>
              <w:kinsoku w:val="0"/>
              <w:overflowPunct w:val="0"/>
              <w:spacing w:line="240" w:lineRule="exact"/>
              <w:ind w:right="5" w:firstLine="0" w:firstLineChars="0"/>
              <w:jc w:val="center"/>
              <w:rPr>
                <w:rFonts w:ascii="Times New Roman" w:hAnsi="Times New Roman" w:cs="Times New Roman"/>
                <w:bCs/>
                <w:sz w:val="21"/>
                <w:szCs w:val="20"/>
              </w:rPr>
            </w:pPr>
            <w:r>
              <w:rPr>
                <w:rFonts w:ascii="Times New Roman" w:hAnsi="Times New Roman" w:cs="Times New Roman"/>
                <w:bCs/>
                <w:sz w:val="21"/>
                <w:szCs w:val="20"/>
              </w:rPr>
              <w:t>爆炸危险性</w:t>
            </w:r>
          </w:p>
          <w:p>
            <w:pPr>
              <w:pStyle w:val="15"/>
              <w:kinsoku w:val="0"/>
              <w:overflowPunct w:val="0"/>
              <w:spacing w:line="240" w:lineRule="exact"/>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物质</w:t>
            </w:r>
          </w:p>
        </w:tc>
      </w:tr>
      <w:tr>
        <w:tblPrEx>
          <w:tblLayout w:type="fixed"/>
          <w:tblCellMar>
            <w:top w:w="0" w:type="dxa"/>
            <w:left w:w="0" w:type="dxa"/>
            <w:bottom w:w="0" w:type="dxa"/>
            <w:right w:w="0" w:type="dxa"/>
          </w:tblCellMar>
        </w:tblPrEx>
        <w:trPr>
          <w:trHeight w:val="281" w:hRule="exact"/>
        </w:trPr>
        <w:tc>
          <w:tcPr>
            <w:tcW w:w="1659" w:type="dxa"/>
            <w:tcBorders>
              <w:top w:val="single" w:color="000000" w:sz="2" w:space="0"/>
              <w:left w:val="nil"/>
              <w:bottom w:val="single" w:color="000000" w:sz="2" w:space="0"/>
              <w:right w:val="single" w:color="000000" w:sz="2" w:space="0"/>
            </w:tcBorders>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重大危险源</w:t>
            </w:r>
          </w:p>
        </w:tc>
        <w:tc>
          <w:tcPr>
            <w:tcW w:w="1865" w:type="dxa"/>
            <w:tcBorders>
              <w:top w:val="single" w:color="000000" w:sz="2" w:space="0"/>
              <w:left w:val="single" w:color="000000" w:sz="2" w:space="0"/>
              <w:bottom w:val="single" w:color="000000" w:sz="2" w:space="0"/>
              <w:right w:val="single" w:color="000000" w:sz="2" w:space="0"/>
            </w:tcBorders>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一</w:t>
            </w:r>
          </w:p>
        </w:tc>
        <w:tc>
          <w:tcPr>
            <w:tcW w:w="1699" w:type="dxa"/>
            <w:tcBorders>
              <w:top w:val="single" w:color="000000" w:sz="2" w:space="0"/>
              <w:left w:val="single" w:color="000000" w:sz="2" w:space="0"/>
              <w:bottom w:val="single" w:color="000000" w:sz="2" w:space="0"/>
              <w:right w:val="single" w:color="000000" w:sz="2" w:space="0"/>
            </w:tcBorders>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二</w:t>
            </w:r>
          </w:p>
        </w:tc>
        <w:tc>
          <w:tcPr>
            <w:tcW w:w="1829" w:type="dxa"/>
            <w:tcBorders>
              <w:top w:val="single" w:color="000000" w:sz="2" w:space="0"/>
              <w:left w:val="single" w:color="000000" w:sz="2" w:space="0"/>
              <w:bottom w:val="single" w:color="000000" w:sz="2" w:space="0"/>
              <w:right w:val="single" w:color="000000" w:sz="2" w:space="0"/>
            </w:tcBorders>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一</w:t>
            </w:r>
          </w:p>
        </w:tc>
        <w:tc>
          <w:tcPr>
            <w:tcW w:w="1753" w:type="dxa"/>
            <w:tcBorders>
              <w:top w:val="single" w:color="000000" w:sz="2" w:space="0"/>
              <w:left w:val="single" w:color="000000" w:sz="2" w:space="0"/>
              <w:bottom w:val="single" w:color="000000" w:sz="2" w:space="0"/>
              <w:right w:val="nil"/>
            </w:tcBorders>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一</w:t>
            </w:r>
          </w:p>
        </w:tc>
      </w:tr>
      <w:tr>
        <w:tblPrEx>
          <w:tblLayout w:type="fixed"/>
          <w:tblCellMar>
            <w:top w:w="0" w:type="dxa"/>
            <w:left w:w="0" w:type="dxa"/>
            <w:bottom w:w="0" w:type="dxa"/>
            <w:right w:w="0" w:type="dxa"/>
          </w:tblCellMar>
        </w:tblPrEx>
        <w:trPr>
          <w:trHeight w:val="281" w:hRule="exact"/>
        </w:trPr>
        <w:tc>
          <w:tcPr>
            <w:tcW w:w="1659" w:type="dxa"/>
            <w:tcBorders>
              <w:top w:val="single" w:color="000000" w:sz="2" w:space="0"/>
              <w:left w:val="nil"/>
              <w:bottom w:val="single" w:color="000000" w:sz="2" w:space="0"/>
              <w:right w:val="single" w:color="000000" w:sz="2" w:space="0"/>
            </w:tcBorders>
            <w:shd w:val="clear" w:color="auto" w:fill="auto"/>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非重大危险源</w:t>
            </w:r>
          </w:p>
        </w:tc>
        <w:tc>
          <w:tcPr>
            <w:tcW w:w="1865" w:type="dxa"/>
            <w:tcBorders>
              <w:top w:val="single" w:color="000000" w:sz="2" w:space="0"/>
              <w:left w:val="single" w:color="000000" w:sz="2" w:space="0"/>
              <w:bottom w:val="single" w:color="000000" w:sz="2" w:space="0"/>
              <w:right w:val="single" w:color="000000" w:sz="2" w:space="0"/>
            </w:tcBorders>
            <w:shd w:val="clear" w:color="auto" w:fill="auto"/>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二</w:t>
            </w:r>
          </w:p>
        </w:tc>
        <w:tc>
          <w:tcPr>
            <w:tcW w:w="1699" w:type="dxa"/>
            <w:tcBorders>
              <w:top w:val="single" w:color="000000" w:sz="2" w:space="0"/>
              <w:left w:val="single" w:color="000000" w:sz="2" w:space="0"/>
              <w:bottom w:val="single" w:color="000000" w:sz="2" w:space="0"/>
              <w:right w:val="single" w:color="000000" w:sz="2" w:space="0"/>
            </w:tcBorders>
            <w:shd w:val="clear" w:color="auto" w:fill="B3B3B3"/>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二</w:t>
            </w:r>
          </w:p>
        </w:tc>
        <w:tc>
          <w:tcPr>
            <w:tcW w:w="1829" w:type="dxa"/>
            <w:tcBorders>
              <w:top w:val="single" w:color="000000" w:sz="2" w:space="0"/>
              <w:left w:val="single" w:color="000000" w:sz="2" w:space="0"/>
              <w:bottom w:val="single" w:color="000000" w:sz="2" w:space="0"/>
              <w:right w:val="single" w:color="000000" w:sz="2" w:space="0"/>
            </w:tcBorders>
            <w:shd w:val="clear" w:color="auto" w:fill="B3B3B3"/>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二</w:t>
            </w:r>
          </w:p>
        </w:tc>
        <w:tc>
          <w:tcPr>
            <w:tcW w:w="1753" w:type="dxa"/>
            <w:tcBorders>
              <w:top w:val="single" w:color="000000" w:sz="2" w:space="0"/>
              <w:left w:val="single" w:color="000000" w:sz="2" w:space="0"/>
              <w:bottom w:val="single" w:color="000000" w:sz="2" w:space="0"/>
              <w:right w:val="nil"/>
            </w:tcBorders>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二</w:t>
            </w:r>
          </w:p>
        </w:tc>
      </w:tr>
      <w:tr>
        <w:tblPrEx>
          <w:tblLayout w:type="fixed"/>
          <w:tblCellMar>
            <w:top w:w="0" w:type="dxa"/>
            <w:left w:w="0" w:type="dxa"/>
            <w:bottom w:w="0" w:type="dxa"/>
            <w:right w:w="0" w:type="dxa"/>
          </w:tblCellMar>
        </w:tblPrEx>
        <w:trPr>
          <w:trHeight w:val="292" w:hRule="exact"/>
        </w:trPr>
        <w:tc>
          <w:tcPr>
            <w:tcW w:w="1659" w:type="dxa"/>
            <w:tcBorders>
              <w:top w:val="single" w:color="000000" w:sz="2" w:space="0"/>
              <w:left w:val="nil"/>
              <w:bottom w:val="single" w:color="000000" w:sz="10" w:space="0"/>
              <w:right w:val="single" w:color="000000" w:sz="2" w:space="0"/>
            </w:tcBorders>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环境敏感地区</w:t>
            </w:r>
          </w:p>
        </w:tc>
        <w:tc>
          <w:tcPr>
            <w:tcW w:w="1865" w:type="dxa"/>
            <w:tcBorders>
              <w:top w:val="single" w:color="000000" w:sz="2" w:space="0"/>
              <w:left w:val="single" w:color="000000" w:sz="2" w:space="0"/>
              <w:bottom w:val="single" w:color="000000" w:sz="10" w:space="0"/>
              <w:right w:val="single" w:color="000000" w:sz="2" w:space="0"/>
            </w:tcBorders>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一</w:t>
            </w:r>
          </w:p>
        </w:tc>
        <w:tc>
          <w:tcPr>
            <w:tcW w:w="1699" w:type="dxa"/>
            <w:tcBorders>
              <w:top w:val="single" w:color="000000" w:sz="2" w:space="0"/>
              <w:left w:val="single" w:color="000000" w:sz="2" w:space="0"/>
              <w:bottom w:val="single" w:color="000000" w:sz="10" w:space="0"/>
              <w:right w:val="single" w:color="000000" w:sz="2" w:space="0"/>
            </w:tcBorders>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一</w:t>
            </w:r>
          </w:p>
        </w:tc>
        <w:tc>
          <w:tcPr>
            <w:tcW w:w="1829" w:type="dxa"/>
            <w:tcBorders>
              <w:top w:val="single" w:color="000000" w:sz="2" w:space="0"/>
              <w:left w:val="single" w:color="000000" w:sz="2" w:space="0"/>
              <w:bottom w:val="single" w:color="000000" w:sz="10" w:space="0"/>
              <w:right w:val="single" w:color="000000" w:sz="2" w:space="0"/>
            </w:tcBorders>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一</w:t>
            </w:r>
          </w:p>
        </w:tc>
        <w:tc>
          <w:tcPr>
            <w:tcW w:w="1753" w:type="dxa"/>
            <w:tcBorders>
              <w:top w:val="single" w:color="000000" w:sz="2" w:space="0"/>
              <w:left w:val="single" w:color="000000" w:sz="2" w:space="0"/>
              <w:bottom w:val="single" w:color="000000" w:sz="10" w:space="0"/>
              <w:right w:val="nil"/>
            </w:tcBorders>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一</w:t>
            </w:r>
          </w:p>
        </w:tc>
      </w:tr>
    </w:tbl>
    <w:p>
      <w:pPr>
        <w:numPr>
          <w:ilvl w:val="1"/>
          <w:numId w:val="1"/>
        </w:numPr>
        <w:autoSpaceDE w:val="0"/>
        <w:autoSpaceDN w:val="0"/>
        <w:adjustRightInd w:val="0"/>
        <w:snapToGrid w:val="0"/>
        <w:spacing w:line="600" w:lineRule="exact"/>
        <w:ind w:left="1072" w:hanging="1072" w:firstLineChars="0"/>
        <w:jc w:val="left"/>
        <w:textAlignment w:val="baseline"/>
        <w:outlineLvl w:val="1"/>
        <w:rPr>
          <w:rFonts w:ascii="Times New Roman" w:hAnsi="Times New Roman" w:eastAsia="黑体" w:cs="Times New Roman"/>
          <w:b/>
          <w:bCs/>
          <w:sz w:val="30"/>
          <w:szCs w:val="32"/>
        </w:rPr>
      </w:pPr>
      <w:bookmarkStart w:id="7" w:name="_Toc422308955"/>
      <w:r>
        <w:rPr>
          <w:rFonts w:ascii="Times New Roman" w:hAnsi="Times New Roman" w:eastAsia="黑体" w:cs="Times New Roman"/>
          <w:b/>
          <w:bCs/>
          <w:sz w:val="30"/>
          <w:szCs w:val="32"/>
        </w:rPr>
        <w:t>评价范围和环境保护目标</w:t>
      </w:r>
    </w:p>
    <w:p>
      <w:pPr>
        <w:spacing w:line="440" w:lineRule="exact"/>
        <w:ind w:firstLine="503"/>
        <w:rPr>
          <w:rFonts w:ascii="Times New Roman" w:hAnsi="Times New Roman" w:cs="Times New Roman"/>
          <w:w w:val="105"/>
        </w:rPr>
      </w:pPr>
      <w:r>
        <w:rPr>
          <w:rFonts w:ascii="Times New Roman" w:hAnsi="Times New Roman" w:cs="Times New Roman"/>
          <w:w w:val="105"/>
        </w:rPr>
        <w:t>本项目环境风险评价等级为二级评价，故根据风险导则，本项目评价范围是 以建设地为中心，半径为3km，面积为28.26km</w:t>
      </w:r>
      <w:r>
        <w:rPr>
          <w:rFonts w:ascii="Times New Roman" w:hAnsi="Times New Roman" w:cs="Times New Roman"/>
          <w:w w:val="105"/>
          <w:vertAlign w:val="superscript"/>
        </w:rPr>
        <w:t>2</w:t>
      </w:r>
      <w:r>
        <w:rPr>
          <w:rFonts w:ascii="Times New Roman" w:hAnsi="Times New Roman" w:cs="Times New Roman"/>
          <w:w w:val="105"/>
        </w:rPr>
        <w:t>左右圆形范围。</w:t>
      </w:r>
    </w:p>
    <w:p>
      <w:pPr>
        <w:spacing w:line="440" w:lineRule="exact"/>
        <w:ind w:firstLine="503"/>
        <w:rPr>
          <w:rFonts w:ascii="Times New Roman" w:hAnsi="Times New Roman" w:cs="Times New Roman"/>
          <w:w w:val="105"/>
        </w:rPr>
      </w:pPr>
      <w:r>
        <w:rPr>
          <w:rFonts w:ascii="Times New Roman" w:hAnsi="Times New Roman" w:cs="Times New Roman"/>
          <w:w w:val="105"/>
        </w:rPr>
        <w:t>根据导则，敏感区系指《建设项目管理名录》中规定的需特殊保护地区、生态敏感与脆弱区及社会关注区。具体敏感区应根据建设项目和危险物质设计的环境确定。</w:t>
      </w:r>
    </w:p>
    <w:p>
      <w:pPr>
        <w:spacing w:line="440" w:lineRule="exact"/>
        <w:ind w:firstLine="503"/>
        <w:rPr>
          <w:rFonts w:ascii="Times New Roman" w:hAnsi="Times New Roman" w:cs="Times New Roman"/>
          <w:w w:val="105"/>
        </w:rPr>
      </w:pPr>
      <w:r>
        <w:rPr>
          <w:rFonts w:ascii="Times New Roman" w:hAnsi="Times New Roman" w:cs="Times New Roman"/>
          <w:w w:val="105"/>
        </w:rPr>
        <w:t>本项目位于南京六合经济开发区内，根据建设项目分类管理名录，本项目拟建地点不属于环境敏感区域。项目周边环境保护目标见表1.4-1。</w:t>
      </w:r>
    </w:p>
    <w:p>
      <w:pPr>
        <w:snapToGrid w:val="0"/>
        <w:spacing w:line="560" w:lineRule="exact"/>
        <w:ind w:firstLine="480" w:firstLineChars="0"/>
        <w:jc w:val="center"/>
        <w:rPr>
          <w:rFonts w:ascii="Times New Roman" w:hAnsi="Times New Roman" w:eastAsia="黑体" w:cs="Times New Roman"/>
          <w:snapToGrid w:val="0"/>
          <w:kern w:val="0"/>
          <w:szCs w:val="24"/>
        </w:rPr>
      </w:pPr>
      <w:r>
        <w:rPr>
          <w:rFonts w:ascii="Times New Roman" w:hAnsi="Times New Roman" w:eastAsia="黑体" w:cs="Times New Roman"/>
          <w:snapToGrid w:val="0"/>
          <w:kern w:val="0"/>
          <w:szCs w:val="24"/>
        </w:rPr>
        <w:t>环境风险保护目标</w:t>
      </w:r>
    </w:p>
    <w:p>
      <w:pPr>
        <w:snapToGrid w:val="0"/>
        <w:spacing w:line="0" w:lineRule="atLeast"/>
        <w:ind w:firstLine="0" w:firstLineChars="0"/>
        <w:jc w:val="left"/>
        <w:rPr>
          <w:rFonts w:ascii="Times New Roman" w:hAnsi="Times New Roman" w:cs="Times New Roman"/>
          <w:snapToGrid w:val="0"/>
          <w:kern w:val="0"/>
          <w:sz w:val="21"/>
          <w:szCs w:val="24"/>
        </w:rPr>
      </w:pPr>
      <w:r>
        <w:rPr>
          <w:rFonts w:ascii="Times New Roman" w:hAnsi="Times New Roman" w:cs="Times New Roman"/>
          <w:snapToGrid w:val="0"/>
          <w:kern w:val="0"/>
          <w:sz w:val="21"/>
          <w:szCs w:val="24"/>
        </w:rPr>
        <w:t xml:space="preserve">表1.4-1 </w:t>
      </w:r>
    </w:p>
    <w:tbl>
      <w:tblPr>
        <w:tblStyle w:val="11"/>
        <w:tblW w:w="9070" w:type="dxa"/>
        <w:tblInd w:w="0" w:type="dxa"/>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2479"/>
        <w:gridCol w:w="2197"/>
        <w:gridCol w:w="2197"/>
        <w:gridCol w:w="2197"/>
      </w:tblGrid>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607" w:hRule="exact"/>
        </w:trPr>
        <w:tc>
          <w:tcPr>
            <w:tcW w:w="2479" w:type="dxa"/>
            <w:shd w:val="clear" w:color="auto" w:fill="auto"/>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环境保护目标名称</w:t>
            </w:r>
          </w:p>
        </w:tc>
        <w:tc>
          <w:tcPr>
            <w:tcW w:w="2197" w:type="dxa"/>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方位</w:t>
            </w:r>
          </w:p>
        </w:tc>
        <w:tc>
          <w:tcPr>
            <w:tcW w:w="2197" w:type="dxa"/>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最近距离（m）</w:t>
            </w:r>
          </w:p>
        </w:tc>
        <w:tc>
          <w:tcPr>
            <w:tcW w:w="2197" w:type="dxa"/>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规模（人数/户数）</w:t>
            </w:r>
          </w:p>
        </w:tc>
      </w:tr>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55" w:hRule="exact"/>
        </w:trPr>
        <w:tc>
          <w:tcPr>
            <w:tcW w:w="2479" w:type="dxa"/>
            <w:shd w:val="clear" w:color="auto" w:fill="auto"/>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七里花园</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N</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470</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约500户</w:t>
            </w:r>
          </w:p>
        </w:tc>
      </w:tr>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55" w:hRule="exact"/>
        </w:trPr>
        <w:tc>
          <w:tcPr>
            <w:tcW w:w="2479" w:type="dxa"/>
            <w:shd w:val="clear" w:color="auto" w:fill="auto"/>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新世纪花园</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NE</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580</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约400户</w:t>
            </w:r>
          </w:p>
        </w:tc>
      </w:tr>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55" w:hRule="exact"/>
        </w:trPr>
        <w:tc>
          <w:tcPr>
            <w:tcW w:w="2479" w:type="dxa"/>
            <w:shd w:val="clear" w:color="auto" w:fill="auto"/>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毛许街道</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SE</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890</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约155户</w:t>
            </w:r>
          </w:p>
        </w:tc>
      </w:tr>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55" w:hRule="exact"/>
        </w:trPr>
        <w:tc>
          <w:tcPr>
            <w:tcW w:w="2479" w:type="dxa"/>
            <w:shd w:val="clear" w:color="auto" w:fill="auto"/>
            <w:vAlign w:val="center"/>
          </w:tcPr>
          <w:p>
            <w:pPr>
              <w:autoSpaceDE w:val="0"/>
              <w:autoSpaceDN w:val="0"/>
              <w:adjustRightIn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姜宋村</w:t>
            </w:r>
          </w:p>
        </w:tc>
        <w:tc>
          <w:tcPr>
            <w:tcW w:w="2197" w:type="dxa"/>
            <w:vAlign w:val="center"/>
          </w:tcPr>
          <w:p>
            <w:pPr>
              <w:autoSpaceDE w:val="0"/>
              <w:autoSpaceDN w:val="0"/>
              <w:adjustRightIn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S</w:t>
            </w:r>
          </w:p>
        </w:tc>
        <w:tc>
          <w:tcPr>
            <w:tcW w:w="2197" w:type="dxa"/>
            <w:vAlign w:val="center"/>
          </w:tcPr>
          <w:p>
            <w:pPr>
              <w:autoSpaceDE w:val="0"/>
              <w:autoSpaceDN w:val="0"/>
              <w:adjustRightIn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1100</w:t>
            </w:r>
          </w:p>
        </w:tc>
        <w:tc>
          <w:tcPr>
            <w:tcW w:w="2197" w:type="dxa"/>
            <w:vAlign w:val="center"/>
          </w:tcPr>
          <w:p>
            <w:pPr>
              <w:autoSpaceDE w:val="0"/>
              <w:autoSpaceDN w:val="0"/>
              <w:adjustRightIn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约50户</w:t>
            </w:r>
          </w:p>
        </w:tc>
      </w:tr>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55" w:hRule="exact"/>
        </w:trPr>
        <w:tc>
          <w:tcPr>
            <w:tcW w:w="2479" w:type="dxa"/>
            <w:shd w:val="clear" w:color="auto" w:fill="auto"/>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宣叶</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SSW</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1100</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约60户</w:t>
            </w:r>
          </w:p>
        </w:tc>
      </w:tr>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55" w:hRule="exact"/>
        </w:trPr>
        <w:tc>
          <w:tcPr>
            <w:tcW w:w="2479" w:type="dxa"/>
            <w:shd w:val="clear" w:color="auto" w:fill="auto"/>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曹庄</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WSW</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1500</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约30户</w:t>
            </w:r>
          </w:p>
        </w:tc>
      </w:tr>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55" w:hRule="exact"/>
        </w:trPr>
        <w:tc>
          <w:tcPr>
            <w:tcW w:w="2479" w:type="dxa"/>
            <w:shd w:val="clear" w:color="auto" w:fill="auto"/>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楼庄</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SW</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1800</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约60户</w:t>
            </w:r>
          </w:p>
        </w:tc>
      </w:tr>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55" w:hRule="exact"/>
        </w:trPr>
        <w:tc>
          <w:tcPr>
            <w:tcW w:w="2479" w:type="dxa"/>
            <w:shd w:val="clear" w:color="auto" w:fill="auto"/>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大宋朝书画院</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SE</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1500</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r>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55" w:hRule="exact"/>
        </w:trPr>
        <w:tc>
          <w:tcPr>
            <w:tcW w:w="2479" w:type="dxa"/>
            <w:shd w:val="clear" w:color="auto" w:fill="auto"/>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招贤寺</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SE</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2000</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r>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55" w:hRule="exact"/>
        </w:trPr>
        <w:tc>
          <w:tcPr>
            <w:tcW w:w="2479" w:type="dxa"/>
            <w:shd w:val="clear" w:color="auto" w:fill="auto"/>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六合区龙池中学</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ESE</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1800</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r>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55" w:hRule="exact"/>
        </w:trPr>
        <w:tc>
          <w:tcPr>
            <w:tcW w:w="2479" w:type="dxa"/>
            <w:shd w:val="clear" w:color="auto" w:fill="auto"/>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垛石村</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200</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约35户</w:t>
            </w:r>
          </w:p>
        </w:tc>
      </w:tr>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55" w:hRule="exact"/>
        </w:trPr>
        <w:tc>
          <w:tcPr>
            <w:tcW w:w="2479" w:type="dxa"/>
            <w:shd w:val="clear" w:color="auto" w:fill="auto"/>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刘营村</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1300</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约65户</w:t>
            </w:r>
          </w:p>
        </w:tc>
      </w:tr>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55" w:hRule="exact"/>
        </w:trPr>
        <w:tc>
          <w:tcPr>
            <w:tcW w:w="2479" w:type="dxa"/>
            <w:shd w:val="clear" w:color="auto" w:fill="auto"/>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袁陆村</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WNW</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750</w:t>
            </w:r>
          </w:p>
        </w:tc>
        <w:tc>
          <w:tcPr>
            <w:tcW w:w="219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约35户</w:t>
            </w:r>
          </w:p>
        </w:tc>
      </w:tr>
    </w:tbl>
    <w:p>
      <w:pPr>
        <w:keepNext/>
        <w:keepLines/>
        <w:pageBreakBefore/>
        <w:numPr>
          <w:ilvl w:val="0"/>
          <w:numId w:val="1"/>
        </w:numPr>
        <w:autoSpaceDE w:val="0"/>
        <w:autoSpaceDN w:val="0"/>
        <w:adjustRightInd w:val="0"/>
        <w:spacing w:before="400" w:after="600" w:line="240" w:lineRule="auto"/>
        <w:ind w:firstLineChars="0"/>
        <w:jc w:val="center"/>
        <w:textAlignment w:val="baseline"/>
        <w:outlineLvl w:val="0"/>
        <w:rPr>
          <w:rFonts w:ascii="Times New Roman" w:hAnsi="Times New Roman" w:eastAsia="黑体" w:cs="Times New Roman"/>
          <w:b/>
          <w:bCs/>
          <w:sz w:val="36"/>
          <w:szCs w:val="36"/>
        </w:rPr>
      </w:pPr>
      <w:r>
        <w:rPr>
          <w:rFonts w:ascii="Times New Roman" w:hAnsi="Times New Roman" w:eastAsia="黑体" w:cs="Times New Roman"/>
          <w:b/>
          <w:bCs/>
          <w:sz w:val="36"/>
          <w:szCs w:val="36"/>
        </w:rPr>
        <w:t>最大可信事故</w:t>
      </w:r>
      <w:bookmarkEnd w:id="7"/>
    </w:p>
    <w:p>
      <w:pPr>
        <w:numPr>
          <w:ilvl w:val="1"/>
          <w:numId w:val="1"/>
        </w:numPr>
        <w:autoSpaceDE w:val="0"/>
        <w:autoSpaceDN w:val="0"/>
        <w:adjustRightInd w:val="0"/>
        <w:snapToGrid w:val="0"/>
        <w:spacing w:line="600" w:lineRule="exact"/>
        <w:ind w:firstLineChars="0"/>
        <w:jc w:val="left"/>
        <w:textAlignment w:val="baseline"/>
        <w:outlineLvl w:val="1"/>
        <w:rPr>
          <w:rFonts w:ascii="Times New Roman" w:hAnsi="Times New Roman" w:eastAsia="黑体" w:cs="Times New Roman"/>
          <w:b/>
          <w:bCs/>
          <w:sz w:val="30"/>
          <w:szCs w:val="32"/>
        </w:rPr>
      </w:pPr>
      <w:r>
        <w:rPr>
          <w:rFonts w:ascii="Times New Roman" w:hAnsi="Times New Roman" w:eastAsia="黑体" w:cs="Times New Roman"/>
          <w:b/>
          <w:bCs/>
          <w:sz w:val="30"/>
          <w:szCs w:val="32"/>
        </w:rPr>
        <w:t>风险识别</w:t>
      </w:r>
    </w:p>
    <w:p>
      <w:pPr>
        <w:pStyle w:val="3"/>
        <w:kinsoku w:val="0"/>
        <w:overflowPunct w:val="0"/>
        <w:spacing w:before="240" w:after="240"/>
        <w:ind w:left="380" w:right="499"/>
        <w:rPr>
          <w:rFonts w:ascii="Times New Roman" w:hAnsi="Times New Roman" w:cs="Times New Roman"/>
          <w:b w:val="0"/>
          <w:bCs/>
        </w:rPr>
      </w:pPr>
      <w:r>
        <w:rPr>
          <w:rFonts w:ascii="Times New Roman" w:hAnsi="Times New Roman" w:cs="Times New Roman"/>
        </w:rPr>
        <w:t>2.1.1生产过程中潜在的风险识别</w:t>
      </w:r>
    </w:p>
    <w:p>
      <w:pPr>
        <w:spacing w:line="440" w:lineRule="exact"/>
        <w:ind w:firstLine="480"/>
        <w:rPr>
          <w:rFonts w:ascii="Times New Roman" w:hAnsi="Times New Roman" w:cs="Times New Roman"/>
        </w:rPr>
      </w:pPr>
      <w:r>
        <w:rPr>
          <w:rFonts w:ascii="Times New Roman" w:hAnsi="Times New Roman" w:cs="Times New Roman"/>
        </w:rPr>
        <w:t xml:space="preserve">（1）重大危险源 </w:t>
      </w:r>
    </w:p>
    <w:p>
      <w:pPr>
        <w:spacing w:line="440" w:lineRule="exact"/>
        <w:ind w:firstLine="480"/>
        <w:rPr>
          <w:rFonts w:ascii="Times New Roman" w:hAnsi="Times New Roman" w:cs="Times New Roman"/>
        </w:rPr>
      </w:pPr>
      <w:r>
        <w:rPr>
          <w:rFonts w:ascii="Times New Roman" w:hAnsi="Times New Roman" w:cs="Times New Roman"/>
        </w:rPr>
        <w:t>依照前述判定，本项目所有功能单元都构不成重大危险源。</w:t>
      </w:r>
    </w:p>
    <w:p>
      <w:pPr>
        <w:spacing w:line="440" w:lineRule="exact"/>
        <w:ind w:firstLine="480"/>
        <w:rPr>
          <w:rFonts w:ascii="Times New Roman" w:hAnsi="Times New Roman" w:cs="Times New Roman"/>
        </w:rPr>
      </w:pPr>
      <w:r>
        <w:rPr>
          <w:rFonts w:ascii="Times New Roman" w:hAnsi="Times New Roman" w:cs="Times New Roman"/>
        </w:rPr>
        <w:t>（2）潜在的危险功能单元</w:t>
      </w:r>
    </w:p>
    <w:p>
      <w:pPr>
        <w:spacing w:line="440" w:lineRule="exact"/>
        <w:ind w:firstLine="480"/>
        <w:rPr>
          <w:rFonts w:ascii="Times New Roman" w:hAnsi="Times New Roman" w:cs="Times New Roman"/>
        </w:rPr>
      </w:pPr>
      <w:r>
        <w:rPr>
          <w:rFonts w:hint="eastAsia" w:ascii="宋体" w:hAnsi="宋体" w:eastAsia="宋体" w:cs="宋体"/>
        </w:rPr>
        <w:t>①</w:t>
      </w:r>
      <w:r>
        <w:rPr>
          <w:rFonts w:ascii="Times New Roman" w:hAnsi="Times New Roman" w:cs="Times New Roman"/>
        </w:rPr>
        <w:t>NMP回收系统故障（根据NMP回收系统特性分析，开停车等非正常工况不会导致NMP回收系统发生问题，主要考虑NMP回收装置因爆炸而发生大面积破损等事故导致），造成NMP蒸汽事故排放；</w:t>
      </w:r>
    </w:p>
    <w:p>
      <w:pPr>
        <w:spacing w:line="440" w:lineRule="exact"/>
        <w:ind w:firstLine="480"/>
        <w:rPr>
          <w:rFonts w:ascii="Times New Roman" w:hAnsi="Times New Roman" w:cs="Times New Roman"/>
        </w:rPr>
      </w:pPr>
      <w:r>
        <w:rPr>
          <w:rFonts w:hint="eastAsia" w:ascii="宋体" w:hAnsi="宋体" w:eastAsia="宋体" w:cs="宋体"/>
        </w:rPr>
        <w:t>②</w:t>
      </w:r>
      <w:r>
        <w:rPr>
          <w:rFonts w:ascii="Times New Roman" w:hAnsi="Times New Roman" w:cs="Times New Roman"/>
        </w:rPr>
        <w:t>投料粉尘除尘器发生故障，废气未经有效处理直接排放至大气；</w:t>
      </w:r>
    </w:p>
    <w:p>
      <w:pPr>
        <w:spacing w:line="440" w:lineRule="exact"/>
        <w:ind w:firstLine="480"/>
        <w:rPr>
          <w:rFonts w:ascii="Times New Roman" w:hAnsi="Times New Roman" w:cs="Times New Roman"/>
        </w:rPr>
      </w:pPr>
      <w:r>
        <w:rPr>
          <w:rFonts w:hint="eastAsia" w:ascii="宋体" w:hAnsi="宋体" w:eastAsia="宋体" w:cs="宋体"/>
        </w:rPr>
        <w:t>③</w:t>
      </w:r>
      <w:r>
        <w:rPr>
          <w:rFonts w:ascii="Times New Roman" w:hAnsi="Times New Roman" w:cs="Times New Roman"/>
        </w:rPr>
        <w:t>设备故障或操作不当，造成生产单元电解液，即碳酸丙烯酯、碳酸乙烯酯、碳酸二甲酯、碳酸二乙酯、碳酸甲乙酯、六氟磷酸锂混合液的泄漏可能引发的火灾，以及泄漏的物料受热分解产生的氟化物进入大气，向周围环境扩散。</w:t>
      </w:r>
    </w:p>
    <w:p>
      <w:pPr>
        <w:snapToGrid w:val="0"/>
        <w:spacing w:line="560" w:lineRule="exact"/>
        <w:ind w:firstLine="480" w:firstLineChars="0"/>
        <w:jc w:val="center"/>
        <w:rPr>
          <w:rFonts w:ascii="Times New Roman" w:hAnsi="Times New Roman" w:eastAsia="黑体" w:cs="Times New Roman"/>
          <w:snapToGrid w:val="0"/>
          <w:kern w:val="0"/>
          <w:szCs w:val="24"/>
        </w:rPr>
      </w:pPr>
      <w:r>
        <w:rPr>
          <w:rFonts w:ascii="Times New Roman" w:hAnsi="Times New Roman" w:eastAsia="黑体" w:cs="Times New Roman"/>
          <w:snapToGrid w:val="0"/>
          <w:kern w:val="0"/>
          <w:szCs w:val="24"/>
        </w:rPr>
        <w:t>本项目风险源</w:t>
      </w:r>
    </w:p>
    <w:p>
      <w:pPr>
        <w:snapToGrid w:val="0"/>
        <w:spacing w:line="0" w:lineRule="atLeast"/>
        <w:ind w:firstLine="0" w:firstLineChars="0"/>
        <w:jc w:val="left"/>
        <w:rPr>
          <w:rFonts w:ascii="Times New Roman" w:hAnsi="Times New Roman" w:cs="Times New Roman"/>
          <w:snapToGrid w:val="0"/>
          <w:kern w:val="0"/>
          <w:sz w:val="21"/>
          <w:szCs w:val="24"/>
        </w:rPr>
      </w:pPr>
      <w:r>
        <w:rPr>
          <w:rFonts w:ascii="Times New Roman" w:hAnsi="Times New Roman" w:cs="Times New Roman"/>
          <w:snapToGrid w:val="0"/>
          <w:kern w:val="0"/>
          <w:sz w:val="21"/>
          <w:szCs w:val="24"/>
        </w:rPr>
        <w:t xml:space="preserve">表2.1-1 </w:t>
      </w:r>
    </w:p>
    <w:tbl>
      <w:tblPr>
        <w:tblStyle w:val="11"/>
        <w:tblW w:w="8539" w:type="dxa"/>
        <w:tblInd w:w="103" w:type="dxa"/>
        <w:tblLayout w:type="fixed"/>
        <w:tblCellMar>
          <w:top w:w="0" w:type="dxa"/>
          <w:left w:w="0" w:type="dxa"/>
          <w:bottom w:w="0" w:type="dxa"/>
          <w:right w:w="0" w:type="dxa"/>
        </w:tblCellMar>
      </w:tblPr>
      <w:tblGrid>
        <w:gridCol w:w="569"/>
        <w:gridCol w:w="1541"/>
        <w:gridCol w:w="2340"/>
        <w:gridCol w:w="1130"/>
        <w:gridCol w:w="2959"/>
      </w:tblGrid>
      <w:tr>
        <w:tblPrEx>
          <w:tblLayout w:type="fixed"/>
          <w:tblCellMar>
            <w:top w:w="0" w:type="dxa"/>
            <w:left w:w="0" w:type="dxa"/>
            <w:bottom w:w="0" w:type="dxa"/>
            <w:right w:w="0" w:type="dxa"/>
          </w:tblCellMar>
        </w:tblPrEx>
        <w:trPr>
          <w:trHeight w:val="569" w:hRule="exact"/>
        </w:trPr>
        <w:tc>
          <w:tcPr>
            <w:tcW w:w="569" w:type="dxa"/>
            <w:tcBorders>
              <w:top w:val="single" w:color="000000" w:sz="10" w:space="0"/>
              <w:left w:val="nil"/>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序</w:t>
            </w:r>
          </w:p>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号</w:t>
            </w:r>
          </w:p>
        </w:tc>
        <w:tc>
          <w:tcPr>
            <w:tcW w:w="1541" w:type="dxa"/>
            <w:tcBorders>
              <w:top w:val="single" w:color="000000" w:sz="10"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风险类别</w:t>
            </w:r>
          </w:p>
        </w:tc>
        <w:tc>
          <w:tcPr>
            <w:tcW w:w="2340" w:type="dxa"/>
            <w:tcBorders>
              <w:top w:val="single" w:color="000000" w:sz="10"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风险源强</w:t>
            </w:r>
          </w:p>
        </w:tc>
        <w:tc>
          <w:tcPr>
            <w:tcW w:w="1130" w:type="dxa"/>
            <w:tcBorders>
              <w:top w:val="single" w:color="000000" w:sz="10"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评价内容</w:t>
            </w:r>
          </w:p>
        </w:tc>
        <w:tc>
          <w:tcPr>
            <w:tcW w:w="2959" w:type="dxa"/>
            <w:tcBorders>
              <w:top w:val="single" w:color="000000" w:sz="10" w:space="0"/>
              <w:left w:val="single" w:color="000000" w:sz="4" w:space="0"/>
              <w:bottom w:val="single" w:color="000000" w:sz="4" w:space="0"/>
              <w:right w:val="nil"/>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事故可能造成的后果</w:t>
            </w:r>
          </w:p>
        </w:tc>
      </w:tr>
      <w:tr>
        <w:tblPrEx>
          <w:tblLayout w:type="fixed"/>
          <w:tblCellMar>
            <w:top w:w="0" w:type="dxa"/>
            <w:left w:w="0" w:type="dxa"/>
            <w:bottom w:w="0" w:type="dxa"/>
            <w:right w:w="0" w:type="dxa"/>
          </w:tblCellMar>
        </w:tblPrEx>
        <w:trPr>
          <w:trHeight w:val="562" w:hRule="exact"/>
        </w:trPr>
        <w:tc>
          <w:tcPr>
            <w:tcW w:w="569" w:type="dxa"/>
            <w:tcBorders>
              <w:top w:val="single" w:color="000000" w:sz="4" w:space="0"/>
              <w:left w:val="nil"/>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1</w:t>
            </w:r>
          </w:p>
        </w:tc>
        <w:tc>
          <w:tcPr>
            <w:tcW w:w="1541"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NMP 回收系</w:t>
            </w:r>
          </w:p>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统故障失效</w:t>
            </w:r>
          </w:p>
        </w:tc>
        <w:tc>
          <w:tcPr>
            <w:tcW w:w="2340"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NMP：62.5kg/h；</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NMP 废气</w:t>
            </w:r>
          </w:p>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回收系统</w:t>
            </w:r>
          </w:p>
        </w:tc>
        <w:tc>
          <w:tcPr>
            <w:tcW w:w="2959" w:type="dxa"/>
            <w:tcBorders>
              <w:top w:val="single" w:color="000000" w:sz="4" w:space="0"/>
              <w:left w:val="single" w:color="000000" w:sz="4" w:space="0"/>
              <w:bottom w:val="single" w:color="000000" w:sz="4" w:space="0"/>
              <w:right w:val="nil"/>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NMP  废气未经有效处理进入</w:t>
            </w:r>
          </w:p>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对周围环境的影响</w:t>
            </w:r>
          </w:p>
        </w:tc>
      </w:tr>
      <w:tr>
        <w:tblPrEx>
          <w:tblLayout w:type="fixed"/>
          <w:tblCellMar>
            <w:top w:w="0" w:type="dxa"/>
            <w:left w:w="0" w:type="dxa"/>
            <w:bottom w:w="0" w:type="dxa"/>
            <w:right w:w="0" w:type="dxa"/>
          </w:tblCellMar>
        </w:tblPrEx>
        <w:trPr>
          <w:trHeight w:val="554" w:hRule="exact"/>
        </w:trPr>
        <w:tc>
          <w:tcPr>
            <w:tcW w:w="569" w:type="dxa"/>
            <w:tcBorders>
              <w:top w:val="single" w:color="000000" w:sz="4" w:space="0"/>
              <w:left w:val="nil"/>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2</w:t>
            </w:r>
          </w:p>
        </w:tc>
        <w:tc>
          <w:tcPr>
            <w:tcW w:w="1541"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除湿机组除尘</w:t>
            </w:r>
          </w:p>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系统发生故障</w:t>
            </w:r>
          </w:p>
        </w:tc>
        <w:tc>
          <w:tcPr>
            <w:tcW w:w="2340"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粉尘：3.45kg/h；</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除尘系统</w:t>
            </w:r>
          </w:p>
        </w:tc>
        <w:tc>
          <w:tcPr>
            <w:tcW w:w="2959" w:type="dxa"/>
            <w:tcBorders>
              <w:top w:val="single" w:color="000000" w:sz="4" w:space="0"/>
              <w:left w:val="single" w:color="000000" w:sz="4" w:space="0"/>
              <w:bottom w:val="single" w:color="000000" w:sz="4" w:space="0"/>
              <w:right w:val="nil"/>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粉尘未经处理进入大气对周围</w:t>
            </w:r>
          </w:p>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环境的影响</w:t>
            </w:r>
          </w:p>
        </w:tc>
      </w:tr>
      <w:tr>
        <w:tblPrEx>
          <w:tblLayout w:type="fixed"/>
          <w:tblCellMar>
            <w:top w:w="0" w:type="dxa"/>
            <w:left w:w="0" w:type="dxa"/>
            <w:bottom w:w="0" w:type="dxa"/>
            <w:right w:w="0" w:type="dxa"/>
          </w:tblCellMar>
        </w:tblPrEx>
        <w:trPr>
          <w:trHeight w:val="569" w:hRule="exact"/>
        </w:trPr>
        <w:tc>
          <w:tcPr>
            <w:tcW w:w="569" w:type="dxa"/>
            <w:tcBorders>
              <w:top w:val="single" w:color="000000" w:sz="4" w:space="0"/>
              <w:left w:val="nil"/>
              <w:bottom w:val="single" w:color="000000" w:sz="10"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3</w:t>
            </w:r>
          </w:p>
        </w:tc>
        <w:tc>
          <w:tcPr>
            <w:tcW w:w="1541" w:type="dxa"/>
            <w:tcBorders>
              <w:top w:val="single" w:color="000000" w:sz="4" w:space="0"/>
              <w:left w:val="single" w:color="000000" w:sz="4" w:space="0"/>
              <w:bottom w:val="single" w:color="000000" w:sz="10"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电解液泄漏、发生火灾</w:t>
            </w:r>
          </w:p>
        </w:tc>
        <w:tc>
          <w:tcPr>
            <w:tcW w:w="2340" w:type="dxa"/>
            <w:tcBorders>
              <w:top w:val="single" w:color="000000" w:sz="4" w:space="0"/>
              <w:left w:val="single" w:color="000000" w:sz="4" w:space="0"/>
              <w:bottom w:val="single" w:color="000000" w:sz="10"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氟化氢 0.001 t</w:t>
            </w:r>
          </w:p>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（每次，原料仓库）</w:t>
            </w:r>
          </w:p>
        </w:tc>
        <w:tc>
          <w:tcPr>
            <w:tcW w:w="1130" w:type="dxa"/>
            <w:tcBorders>
              <w:top w:val="single" w:color="000000" w:sz="4" w:space="0"/>
              <w:left w:val="single" w:color="000000" w:sz="4" w:space="0"/>
              <w:bottom w:val="single" w:color="000000" w:sz="10"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原料仓库</w:t>
            </w:r>
          </w:p>
        </w:tc>
        <w:tc>
          <w:tcPr>
            <w:tcW w:w="2959" w:type="dxa"/>
            <w:tcBorders>
              <w:top w:val="single" w:color="000000" w:sz="4" w:space="0"/>
              <w:left w:val="single" w:color="000000" w:sz="4" w:space="0"/>
              <w:bottom w:val="single" w:color="000000" w:sz="10" w:space="0"/>
              <w:right w:val="nil"/>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泄漏事故对周围大气环境的影响</w:t>
            </w:r>
          </w:p>
        </w:tc>
      </w:tr>
    </w:tbl>
    <w:p>
      <w:pPr>
        <w:spacing w:line="440" w:lineRule="exact"/>
        <w:ind w:firstLine="480"/>
        <w:rPr>
          <w:rFonts w:ascii="Times New Roman" w:hAnsi="Times New Roman" w:cs="Times New Roman"/>
        </w:rPr>
      </w:pPr>
      <w:r>
        <w:rPr>
          <w:rFonts w:ascii="Times New Roman" w:hAnsi="Times New Roman" w:cs="Times New Roman"/>
        </w:rPr>
        <w:t>以上事故无论发生哪一种，都将对周边环境和人群造成影响。因此，生产中</w:t>
      </w:r>
    </w:p>
    <w:p>
      <w:pPr>
        <w:spacing w:line="440" w:lineRule="exact"/>
        <w:ind w:firstLine="480"/>
        <w:rPr>
          <w:rFonts w:ascii="Times New Roman" w:hAnsi="Times New Roman" w:cs="Times New Roman"/>
        </w:rPr>
      </w:pPr>
      <w:r>
        <w:rPr>
          <w:rFonts w:ascii="Times New Roman" w:hAnsi="Times New Roman" w:cs="Times New Roman"/>
        </w:rPr>
        <w:t>应加强管理，严格操作规程，加强职工教育，提高工人素质，精心操作，防患于 未然，将事故排放控制到最小。</w:t>
      </w:r>
    </w:p>
    <w:p>
      <w:pPr>
        <w:pStyle w:val="3"/>
        <w:kinsoku w:val="0"/>
        <w:overflowPunct w:val="0"/>
        <w:spacing w:before="240" w:after="240"/>
        <w:ind w:left="240" w:right="187"/>
        <w:rPr>
          <w:rFonts w:ascii="Times New Roman" w:hAnsi="Times New Roman" w:cs="Times New Roman"/>
          <w:b w:val="0"/>
          <w:bCs/>
        </w:rPr>
      </w:pPr>
      <w:r>
        <w:rPr>
          <w:rFonts w:ascii="Times New Roman" w:hAnsi="Times New Roman" w:eastAsia="等线" w:cs="Times New Roman"/>
        </w:rPr>
        <w:t>2.1.2</w:t>
      </w:r>
      <w:r>
        <w:rPr>
          <w:rFonts w:ascii="Times New Roman" w:hAnsi="Times New Roman" w:eastAsia="等线" w:cs="Times New Roman"/>
          <w:spacing w:val="-2"/>
        </w:rPr>
        <w:t xml:space="preserve"> </w:t>
      </w:r>
      <w:r>
        <w:rPr>
          <w:rFonts w:ascii="Times New Roman" w:hAnsi="Times New Roman" w:cs="Times New Roman"/>
        </w:rPr>
        <w:t>储运过程中潜在的风险识别</w:t>
      </w:r>
    </w:p>
    <w:p>
      <w:pPr>
        <w:spacing w:line="440" w:lineRule="exact"/>
        <w:ind w:firstLine="480"/>
        <w:rPr>
          <w:rFonts w:ascii="Times New Roman" w:hAnsi="Times New Roman" w:cs="Times New Roman"/>
        </w:rPr>
      </w:pPr>
      <w:r>
        <w:rPr>
          <w:rFonts w:ascii="Times New Roman" w:hAnsi="Times New Roman" w:cs="Times New Roman"/>
        </w:rPr>
        <w:t>本项目的生产过程中使用的化学品，从物质危险性及储存量等方面均不构成重大危险源。</w:t>
      </w:r>
    </w:p>
    <w:p>
      <w:pPr>
        <w:spacing w:line="440" w:lineRule="exact"/>
        <w:ind w:firstLine="480"/>
        <w:rPr>
          <w:rFonts w:ascii="Times New Roman" w:hAnsi="Times New Roman" w:cs="Times New Roman"/>
        </w:rPr>
      </w:pPr>
      <w:r>
        <w:rPr>
          <w:rFonts w:ascii="Times New Roman" w:hAnsi="Times New Roman" w:cs="Times New Roman"/>
        </w:rPr>
        <w:t>储存单元的潜在风险为设备故障或操作不当，造成贮存单元电解液，即碳酸丙烯酯、碳酸乙烯酯、碳酸二甲酯、碳酸二乙酯、碳酸甲乙酯、六氟磷酸锂混合液的泄漏可能引发的火灾，以及泄漏的物料受热分解产生的氟化物进入大气，向周围环境扩散。</w:t>
      </w:r>
    </w:p>
    <w:p>
      <w:pPr>
        <w:pStyle w:val="3"/>
        <w:kinsoku w:val="0"/>
        <w:overflowPunct w:val="0"/>
        <w:spacing w:before="240" w:after="240"/>
        <w:ind w:left="240" w:right="187"/>
        <w:rPr>
          <w:rFonts w:ascii="Times New Roman" w:hAnsi="Times New Roman" w:eastAsia="等线" w:cs="Times New Roman"/>
        </w:rPr>
      </w:pPr>
      <w:r>
        <w:rPr>
          <w:rFonts w:ascii="Times New Roman" w:hAnsi="Times New Roman" w:eastAsia="等线" w:cs="Times New Roman"/>
        </w:rPr>
        <w:t>2.1.3 运输过程潜在的风险识别</w:t>
      </w:r>
    </w:p>
    <w:p>
      <w:pPr>
        <w:pStyle w:val="5"/>
        <w:kinsoku w:val="0"/>
        <w:overflowPunct w:val="0"/>
        <w:spacing w:line="374" w:lineRule="auto"/>
        <w:ind w:left="239" w:right="254" w:firstLine="476"/>
        <w:rPr>
          <w:rFonts w:ascii="Times New Roman" w:hAnsi="Times New Roman" w:cs="Times New Roman"/>
        </w:rPr>
      </w:pPr>
      <w:r>
        <w:rPr>
          <w:rFonts w:ascii="Times New Roman" w:hAnsi="Times New Roman" w:cs="Times New Roman"/>
          <w:spacing w:val="-1"/>
        </w:rPr>
        <w:t>公路运输是本项目原辅材料的主要运输方式，因此汽车的装卸、运输作业是造成泄漏污染的重要环节。但由于原辅料不属于危险物质，因此无重大风险，但</w:t>
      </w:r>
      <w:r>
        <w:rPr>
          <w:rFonts w:ascii="Times New Roman" w:hAnsi="Times New Roman" w:cs="Times New Roman"/>
          <w:w w:val="105"/>
        </w:rPr>
        <w:t>是在运输过程中也要加强安全管理。</w:t>
      </w:r>
    </w:p>
    <w:p>
      <w:pPr>
        <w:numPr>
          <w:ilvl w:val="1"/>
          <w:numId w:val="1"/>
        </w:numPr>
        <w:autoSpaceDE w:val="0"/>
        <w:autoSpaceDN w:val="0"/>
        <w:adjustRightInd w:val="0"/>
        <w:snapToGrid w:val="0"/>
        <w:spacing w:line="600" w:lineRule="exact"/>
        <w:ind w:firstLineChars="0"/>
        <w:jc w:val="left"/>
        <w:textAlignment w:val="baseline"/>
        <w:outlineLvl w:val="1"/>
        <w:rPr>
          <w:rFonts w:ascii="Times New Roman" w:hAnsi="Times New Roman" w:eastAsia="黑体" w:cs="Times New Roman"/>
          <w:b/>
          <w:bCs/>
          <w:sz w:val="30"/>
          <w:szCs w:val="32"/>
        </w:rPr>
      </w:pPr>
      <w:r>
        <w:rPr>
          <w:rFonts w:ascii="Times New Roman" w:hAnsi="Times New Roman" w:eastAsia="黑体" w:cs="Times New Roman"/>
          <w:b/>
          <w:bCs/>
          <w:sz w:val="30"/>
          <w:szCs w:val="32"/>
        </w:rPr>
        <w:t>源项分析</w:t>
      </w:r>
    </w:p>
    <w:p>
      <w:pPr>
        <w:pStyle w:val="3"/>
        <w:kinsoku w:val="0"/>
        <w:overflowPunct w:val="0"/>
        <w:spacing w:before="240" w:after="240"/>
        <w:ind w:left="240" w:right="187"/>
        <w:rPr>
          <w:rFonts w:ascii="Times New Roman" w:hAnsi="Times New Roman" w:cs="Times New Roman"/>
          <w:b w:val="0"/>
          <w:bCs/>
        </w:rPr>
      </w:pPr>
      <w:r>
        <w:rPr>
          <w:rFonts w:ascii="Times New Roman" w:hAnsi="Times New Roman" w:cs="Times New Roman"/>
        </w:rPr>
        <w:t>2.2.1分析内容</w:t>
      </w:r>
    </w:p>
    <w:p>
      <w:pPr>
        <w:pStyle w:val="5"/>
        <w:kinsoku w:val="0"/>
        <w:overflowPunct w:val="0"/>
        <w:spacing w:line="374" w:lineRule="auto"/>
        <w:ind w:left="239" w:right="254" w:firstLine="476"/>
        <w:rPr>
          <w:rFonts w:ascii="Times New Roman" w:hAnsi="Times New Roman" w:cs="Times New Roman"/>
        </w:rPr>
      </w:pPr>
      <w:r>
        <w:rPr>
          <w:rFonts w:ascii="Times New Roman" w:hAnsi="Times New Roman" w:cs="Times New Roman"/>
          <w:spacing w:val="-1"/>
        </w:rPr>
        <w:t>本项目为二级评价，故源项分析内容是定性确定最大可信事故的发生概率和</w:t>
      </w:r>
      <w:r>
        <w:rPr>
          <w:rFonts w:ascii="Times New Roman" w:hAnsi="Times New Roman" w:cs="Times New Roman"/>
          <w:w w:val="105"/>
        </w:rPr>
        <w:t>事故源强。</w:t>
      </w:r>
    </w:p>
    <w:p>
      <w:pPr>
        <w:pStyle w:val="3"/>
        <w:kinsoku w:val="0"/>
        <w:overflowPunct w:val="0"/>
        <w:spacing w:before="240" w:after="240"/>
        <w:ind w:left="240" w:right="187"/>
        <w:rPr>
          <w:rFonts w:ascii="Times New Roman" w:hAnsi="Times New Roman" w:cs="Times New Roman"/>
          <w:b w:val="0"/>
          <w:bCs/>
        </w:rPr>
      </w:pPr>
      <w:r>
        <w:rPr>
          <w:rFonts w:ascii="Times New Roman" w:hAnsi="Times New Roman" w:eastAsia="等线" w:cs="Times New Roman"/>
        </w:rPr>
        <w:t>2.2.2</w:t>
      </w:r>
      <w:r>
        <w:rPr>
          <w:rFonts w:ascii="Times New Roman" w:hAnsi="Times New Roman" w:eastAsia="等线" w:cs="Times New Roman"/>
          <w:spacing w:val="-1"/>
        </w:rPr>
        <w:t xml:space="preserve"> </w:t>
      </w:r>
      <w:r>
        <w:rPr>
          <w:rFonts w:ascii="Times New Roman" w:hAnsi="Times New Roman" w:cs="Times New Roman"/>
        </w:rPr>
        <w:t>最大可信事故设定</w:t>
      </w:r>
    </w:p>
    <w:p>
      <w:pPr>
        <w:pStyle w:val="5"/>
        <w:kinsoku w:val="0"/>
        <w:overflowPunct w:val="0"/>
        <w:spacing w:line="374" w:lineRule="auto"/>
        <w:ind w:left="239" w:right="254" w:firstLine="476"/>
        <w:rPr>
          <w:rFonts w:ascii="Times New Roman" w:hAnsi="Times New Roman" w:cs="Times New Roman"/>
          <w:spacing w:val="-1"/>
        </w:rPr>
      </w:pPr>
      <w:r>
        <w:rPr>
          <w:rFonts w:ascii="Times New Roman" w:hAnsi="Times New Roman" w:cs="Times New Roman"/>
          <w:spacing w:val="-1"/>
        </w:rPr>
        <w:t>针对风险污染事故发生的各类环节，分析风险污染事故发生后，对环境的影响方式。建设项目一旦发生事故，对周围环境及工作人员人身安全、健康均可能造成影响。最大可信灾害事故所造成的危害在所有预测的事故中最严重，并且发生该事故的概率不为零。本项目的最大可信事故设定为：设备故障或操作不当，造成贮存单元电解液，即碳酸丙烯酯、碳酸乙烯酯、碳酸二甲酯、碳酸二乙酯、碳酸甲乙酯、六氟磷酸锂混合液的泄漏可能引发的火灾，以及泄漏的物料受热分解产生的氟化物进入大气，向周围环境扩散。</w:t>
      </w:r>
    </w:p>
    <w:p>
      <w:pPr>
        <w:pStyle w:val="3"/>
        <w:kinsoku w:val="0"/>
        <w:overflowPunct w:val="0"/>
        <w:spacing w:before="240" w:after="240"/>
        <w:ind w:right="33"/>
        <w:rPr>
          <w:rFonts w:ascii="Times New Roman" w:hAnsi="Times New Roman" w:cs="Times New Roman"/>
          <w:b w:val="0"/>
          <w:bCs/>
        </w:rPr>
      </w:pPr>
      <w:r>
        <w:rPr>
          <w:rFonts w:ascii="Times New Roman" w:hAnsi="Times New Roman" w:cs="Times New Roman"/>
        </w:rPr>
        <w:t>2.2.3最大可信事故源项</w:t>
      </w:r>
    </w:p>
    <w:p>
      <w:pPr>
        <w:pStyle w:val="5"/>
        <w:kinsoku w:val="0"/>
        <w:overflowPunct w:val="0"/>
        <w:spacing w:line="374" w:lineRule="auto"/>
        <w:ind w:left="239" w:right="254" w:firstLine="476"/>
        <w:rPr>
          <w:rFonts w:ascii="Times New Roman" w:hAnsi="Times New Roman" w:cs="Times New Roman"/>
          <w:spacing w:val="-1"/>
        </w:rPr>
      </w:pPr>
      <w:r>
        <w:rPr>
          <w:rFonts w:ascii="Times New Roman" w:hAnsi="Times New Roman" w:cs="Times New Roman"/>
          <w:spacing w:val="-1"/>
        </w:rPr>
        <w:t xml:space="preserve">1、事故发生的泄漏环境状况及时间 </w:t>
      </w:r>
    </w:p>
    <w:p>
      <w:pPr>
        <w:pStyle w:val="5"/>
        <w:kinsoku w:val="0"/>
        <w:overflowPunct w:val="0"/>
        <w:spacing w:line="374" w:lineRule="auto"/>
        <w:ind w:left="239" w:right="254" w:firstLine="476"/>
        <w:rPr>
          <w:rFonts w:ascii="Times New Roman" w:hAnsi="Times New Roman" w:cs="Times New Roman"/>
          <w:spacing w:val="-1"/>
        </w:rPr>
      </w:pPr>
      <w:r>
        <w:rPr>
          <w:rFonts w:ascii="Times New Roman" w:hAnsi="Times New Roman" w:cs="Times New Roman"/>
          <w:spacing w:val="-1"/>
        </w:rPr>
        <w:t>建设项目实行三班制，昼间有工人在厂内工作，夜间安排工人在厂区值班，生产中的泄漏情况，可以很快发现并采取相应措施，本次评价不进行分析；储桶区安排专人定期巡检危险品仓库。在日常维护妥善，设备工作正常的情况下，危险物质的泄漏也可以较快的发现并采取相应措施。</w:t>
      </w:r>
    </w:p>
    <w:p>
      <w:pPr>
        <w:pStyle w:val="5"/>
        <w:kinsoku w:val="0"/>
        <w:overflowPunct w:val="0"/>
        <w:spacing w:line="374" w:lineRule="auto"/>
        <w:ind w:left="239" w:right="254" w:firstLine="476"/>
        <w:rPr>
          <w:rFonts w:ascii="Times New Roman" w:hAnsi="Times New Roman" w:cs="Times New Roman"/>
          <w:spacing w:val="-1"/>
        </w:rPr>
      </w:pPr>
      <w:r>
        <w:rPr>
          <w:rFonts w:ascii="Times New Roman" w:hAnsi="Times New Roman" w:cs="Times New Roman"/>
          <w:spacing w:val="-1"/>
        </w:rPr>
        <w:t xml:space="preserve">2、泄出物质状态及泄漏量 </w:t>
      </w:r>
    </w:p>
    <w:p>
      <w:pPr>
        <w:pStyle w:val="5"/>
        <w:kinsoku w:val="0"/>
        <w:overflowPunct w:val="0"/>
        <w:spacing w:line="374" w:lineRule="auto"/>
        <w:ind w:left="239" w:right="254" w:firstLine="476"/>
        <w:rPr>
          <w:rFonts w:ascii="Times New Roman" w:hAnsi="Times New Roman" w:cs="Times New Roman"/>
          <w:spacing w:val="-1"/>
        </w:rPr>
      </w:pPr>
      <w:r>
        <w:rPr>
          <w:rFonts w:ascii="Times New Roman" w:hAnsi="Times New Roman" w:cs="Times New Roman"/>
          <w:spacing w:val="-1"/>
        </w:rPr>
        <w:t>碳酸乙烯酯和六氟磷酸锂在常温常压下为液态，当发生泄漏时物料以液体形式泄漏到地面，六氟磷酸锂和水接触或受高热会产生的氟化氢挥发到大气中。碳酸乙烯酯的性质不稳定，一旦遇到明火或高温，很有可能引发火灾爆炸事故。本项目考虑1桶电解液（1000kg）全部泄漏时，液体泄漏量碳酸丙烯酯150kg、碳酸乙烯酯190kg、碳酸二甲酯200kg、碳酸二乙酯180kg、碳酸甲乙酯130kg和六氟磷酸锂150kg。本项目主要考虑电解液质量蒸发量计算。</w:t>
      </w:r>
    </w:p>
    <w:p>
      <w:pPr>
        <w:pStyle w:val="5"/>
        <w:kinsoku w:val="0"/>
        <w:overflowPunct w:val="0"/>
        <w:spacing w:line="374" w:lineRule="auto"/>
        <w:ind w:left="239" w:right="254" w:firstLine="476"/>
        <w:rPr>
          <w:rFonts w:ascii="Times New Roman" w:hAnsi="Times New Roman" w:cs="Times New Roman"/>
          <w:spacing w:val="-1"/>
        </w:rPr>
      </w:pPr>
      <w:r>
        <w:rPr>
          <w:rFonts w:ascii="Times New Roman" w:hAnsi="Times New Roman" w:cs="Times New Roman"/>
          <w:spacing w:val="-1"/>
        </w:rPr>
        <w:t>液体泄漏后立即扩散到地面，一直流到低洼处或人工边界，如防护堤、岸墙等，形成液池。液体泄漏出来不断蒸发，当液体蒸发速度等于泄漏速度时，液池中的液体将维持不变。如果泄漏的液体是低挥发性的，则从液池中蒸发量较少，不易形成气团，对场外人员危险性较小；如果泄漏的是挥发性液体，泄漏后液体蒸发量大，在液池上面会形成蒸气云，容易扩散到场外，对场外人员的危险性较大。</w:t>
      </w:r>
    </w:p>
    <w:p>
      <w:pPr>
        <w:pStyle w:val="5"/>
        <w:kinsoku w:val="0"/>
        <w:overflowPunct w:val="0"/>
        <w:spacing w:line="374" w:lineRule="auto"/>
        <w:ind w:left="239" w:right="254" w:firstLine="476"/>
        <w:rPr>
          <w:rFonts w:ascii="Times New Roman" w:hAnsi="Times New Roman" w:cs="Times New Roman"/>
          <w:spacing w:val="-1"/>
        </w:rPr>
      </w:pPr>
      <w:r>
        <w:rPr>
          <w:rFonts w:ascii="Times New Roman" w:hAnsi="Times New Roman" w:cs="Times New Roman"/>
          <w:spacing w:val="-1"/>
        </w:rPr>
        <w:t>由火灾产生的有度有害物质主要考虑储区电解液泄漏中主要物质六氟磷酸锂受热产生氟化氢气体，根据本项目危险化学品仓库六氟磷酸锂泄漏量0.15t/次，据相关文献核算本项目泄漏六氟磷酸锂受热分解时氟化氢产生量为0.01t/次，产生速率为 0.0165kg/s，持续时间为10分钟。</w:t>
      </w:r>
    </w:p>
    <w:p>
      <w:pPr>
        <w:pStyle w:val="5"/>
        <w:kinsoku w:val="0"/>
        <w:overflowPunct w:val="0"/>
        <w:spacing w:line="374" w:lineRule="auto"/>
        <w:ind w:left="239" w:right="254" w:firstLine="476"/>
        <w:rPr>
          <w:rFonts w:ascii="Times New Roman" w:hAnsi="Times New Roman" w:cs="Times New Roman"/>
          <w:spacing w:val="-1"/>
        </w:rPr>
      </w:pPr>
      <w:r>
        <w:rPr>
          <w:rFonts w:ascii="Times New Roman" w:hAnsi="Times New Roman" w:cs="Times New Roman"/>
          <w:spacing w:val="-1"/>
        </w:rPr>
        <w:t>3、最大可信事故概率分析</w:t>
      </w:r>
    </w:p>
    <w:p>
      <w:pPr>
        <w:pStyle w:val="5"/>
        <w:kinsoku w:val="0"/>
        <w:overflowPunct w:val="0"/>
        <w:spacing w:line="374" w:lineRule="auto"/>
        <w:ind w:left="239" w:right="254" w:firstLine="476"/>
        <w:rPr>
          <w:rFonts w:ascii="Times New Roman" w:hAnsi="Times New Roman" w:cs="Times New Roman"/>
          <w:spacing w:val="-1"/>
        </w:rPr>
      </w:pPr>
      <w:r>
        <w:rPr>
          <w:rFonts w:ascii="Times New Roman" w:hAnsi="Times New Roman" w:cs="Times New Roman"/>
          <w:spacing w:val="-1"/>
        </w:rPr>
        <w:t>风险值是风险评价表征，包括事故的发生概率和事故的危害程度。定义为：风险值{后果/时间}=概率{事故数/单位时间}×危害程度{后果/每次事故} 根据《化工装备事故分析与预防》—化学工业出版社(1994)中统计1949年～1988年的全国化工行业事故发生情况的相关资料，结合化工行业的有关规范，得出各类化工设备事故发生频率Pa，见表2.2-1。</w:t>
      </w:r>
    </w:p>
    <w:p>
      <w:pPr>
        <w:snapToGrid w:val="0"/>
        <w:spacing w:line="560" w:lineRule="exact"/>
        <w:ind w:firstLine="480" w:firstLineChars="0"/>
        <w:jc w:val="center"/>
        <w:rPr>
          <w:rFonts w:ascii="Times New Roman" w:hAnsi="Times New Roman" w:eastAsia="黑体" w:cs="Times New Roman"/>
          <w:snapToGrid w:val="0"/>
          <w:kern w:val="0"/>
          <w:szCs w:val="24"/>
        </w:rPr>
      </w:pPr>
      <w:r>
        <w:rPr>
          <w:rFonts w:ascii="Times New Roman" w:hAnsi="Times New Roman" w:eastAsia="黑体" w:cs="Times New Roman"/>
          <w:snapToGrid w:val="0"/>
          <w:kern w:val="0"/>
          <w:szCs w:val="24"/>
        </w:rPr>
        <w:tab/>
      </w:r>
      <w:r>
        <w:rPr>
          <w:rFonts w:ascii="Times New Roman" w:hAnsi="Times New Roman" w:eastAsia="黑体" w:cs="Times New Roman"/>
          <w:snapToGrid w:val="0"/>
          <w:kern w:val="0"/>
          <w:szCs w:val="24"/>
        </w:rPr>
        <w:t>事故频率 Pa 取值表</w:t>
      </w:r>
    </w:p>
    <w:p>
      <w:pPr>
        <w:snapToGrid w:val="0"/>
        <w:spacing w:line="0" w:lineRule="atLeast"/>
        <w:ind w:firstLine="0" w:firstLineChars="0"/>
        <w:jc w:val="left"/>
        <w:rPr>
          <w:rFonts w:ascii="Times New Roman" w:hAnsi="Times New Roman" w:cs="Times New Roman"/>
          <w:snapToGrid w:val="0"/>
          <w:kern w:val="0"/>
          <w:sz w:val="21"/>
          <w:szCs w:val="24"/>
        </w:rPr>
      </w:pPr>
      <w:r>
        <w:rPr>
          <w:rFonts w:ascii="Times New Roman" w:hAnsi="Times New Roman" w:cs="Times New Roman"/>
          <w:snapToGrid w:val="0"/>
          <w:kern w:val="0"/>
          <w:sz w:val="21"/>
          <w:szCs w:val="24"/>
        </w:rPr>
        <w:t xml:space="preserve">表2.2-1                                                                </w:t>
      </w:r>
      <w:r>
        <w:rPr>
          <w:rFonts w:ascii="Times New Roman" w:hAnsi="Times New Roman" w:cs="Times New Roman"/>
          <w:snapToGrid w:val="0"/>
          <w:kern w:val="0"/>
          <w:sz w:val="21"/>
          <w:szCs w:val="24"/>
        </w:rPr>
        <w:tab/>
      </w:r>
      <w:r>
        <w:rPr>
          <w:rFonts w:ascii="Times New Roman" w:hAnsi="Times New Roman" w:cs="Times New Roman"/>
          <w:snapToGrid w:val="0"/>
          <w:kern w:val="0"/>
          <w:sz w:val="21"/>
          <w:szCs w:val="24"/>
        </w:rPr>
        <w:t>单位：次/年</w:t>
      </w:r>
    </w:p>
    <w:tbl>
      <w:tblPr>
        <w:tblStyle w:val="11"/>
        <w:tblW w:w="8539" w:type="dxa"/>
        <w:tblInd w:w="103" w:type="dxa"/>
        <w:tblLayout w:type="fixed"/>
        <w:tblCellMar>
          <w:top w:w="0" w:type="dxa"/>
          <w:left w:w="0" w:type="dxa"/>
          <w:bottom w:w="0" w:type="dxa"/>
          <w:right w:w="0" w:type="dxa"/>
        </w:tblCellMar>
      </w:tblPr>
      <w:tblGrid>
        <w:gridCol w:w="2574"/>
        <w:gridCol w:w="1987"/>
        <w:gridCol w:w="1988"/>
        <w:gridCol w:w="1990"/>
      </w:tblGrid>
      <w:tr>
        <w:tblPrEx>
          <w:tblLayout w:type="fixed"/>
        </w:tblPrEx>
        <w:trPr>
          <w:trHeight w:val="356" w:hRule="exact"/>
        </w:trPr>
        <w:tc>
          <w:tcPr>
            <w:tcW w:w="2574" w:type="dxa"/>
            <w:tcBorders>
              <w:top w:val="single" w:color="000000" w:sz="10" w:space="0"/>
              <w:left w:val="nil"/>
              <w:bottom w:val="single" w:color="000000" w:sz="2" w:space="0"/>
              <w:right w:val="single" w:color="000000" w:sz="2" w:space="0"/>
            </w:tcBorders>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设备名称</w:t>
            </w:r>
          </w:p>
        </w:tc>
        <w:tc>
          <w:tcPr>
            <w:tcW w:w="1987" w:type="dxa"/>
            <w:tcBorders>
              <w:top w:val="single" w:color="000000" w:sz="10" w:space="0"/>
              <w:left w:val="single" w:color="000000" w:sz="2" w:space="0"/>
              <w:bottom w:val="single" w:color="000000" w:sz="2" w:space="0"/>
              <w:right w:val="single" w:color="000000" w:sz="2" w:space="0"/>
            </w:tcBorders>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反应容器</w:t>
            </w:r>
          </w:p>
        </w:tc>
        <w:tc>
          <w:tcPr>
            <w:tcW w:w="1988" w:type="dxa"/>
            <w:tcBorders>
              <w:top w:val="single" w:color="000000" w:sz="10" w:space="0"/>
              <w:left w:val="single" w:color="000000" w:sz="2" w:space="0"/>
              <w:bottom w:val="single" w:color="000000" w:sz="2" w:space="0"/>
              <w:right w:val="single" w:color="000000" w:sz="2" w:space="0"/>
            </w:tcBorders>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储罐</w:t>
            </w:r>
          </w:p>
        </w:tc>
        <w:tc>
          <w:tcPr>
            <w:tcW w:w="1990" w:type="dxa"/>
            <w:tcBorders>
              <w:top w:val="single" w:color="000000" w:sz="10" w:space="0"/>
              <w:left w:val="single" w:color="000000" w:sz="2" w:space="0"/>
              <w:bottom w:val="single" w:color="000000" w:sz="2" w:space="0"/>
              <w:right w:val="nil"/>
            </w:tcBorders>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管道破裂</w:t>
            </w:r>
          </w:p>
        </w:tc>
      </w:tr>
      <w:tr>
        <w:tblPrEx>
          <w:tblLayout w:type="fixed"/>
          <w:tblCellMar>
            <w:top w:w="0" w:type="dxa"/>
            <w:left w:w="0" w:type="dxa"/>
            <w:bottom w:w="0" w:type="dxa"/>
            <w:right w:w="0" w:type="dxa"/>
          </w:tblCellMar>
        </w:tblPrEx>
        <w:trPr>
          <w:trHeight w:val="364" w:hRule="exact"/>
        </w:trPr>
        <w:tc>
          <w:tcPr>
            <w:tcW w:w="2574" w:type="dxa"/>
            <w:tcBorders>
              <w:top w:val="single" w:color="000000" w:sz="2" w:space="0"/>
              <w:left w:val="nil"/>
              <w:bottom w:val="single" w:color="000000" w:sz="10" w:space="0"/>
              <w:right w:val="single" w:color="000000" w:sz="2" w:space="0"/>
            </w:tcBorders>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事故频率</w:t>
            </w:r>
          </w:p>
        </w:tc>
        <w:tc>
          <w:tcPr>
            <w:tcW w:w="1987" w:type="dxa"/>
            <w:tcBorders>
              <w:top w:val="single" w:color="000000" w:sz="2" w:space="0"/>
              <w:left w:val="single" w:color="000000" w:sz="2" w:space="0"/>
              <w:bottom w:val="single" w:color="000000" w:sz="10" w:space="0"/>
              <w:right w:val="single" w:color="000000" w:sz="2" w:space="0"/>
            </w:tcBorders>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1.1×10-5</w:t>
            </w:r>
          </w:p>
        </w:tc>
        <w:tc>
          <w:tcPr>
            <w:tcW w:w="1988" w:type="dxa"/>
            <w:tcBorders>
              <w:top w:val="single" w:color="000000" w:sz="2" w:space="0"/>
              <w:left w:val="single" w:color="000000" w:sz="2" w:space="0"/>
              <w:bottom w:val="single" w:color="000000" w:sz="10" w:space="0"/>
              <w:right w:val="single" w:color="000000" w:sz="2" w:space="0"/>
            </w:tcBorders>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1.2×10-6</w:t>
            </w:r>
          </w:p>
        </w:tc>
        <w:tc>
          <w:tcPr>
            <w:tcW w:w="1990" w:type="dxa"/>
            <w:tcBorders>
              <w:top w:val="single" w:color="000000" w:sz="2" w:space="0"/>
              <w:left w:val="single" w:color="000000" w:sz="2" w:space="0"/>
              <w:bottom w:val="single" w:color="000000" w:sz="10" w:space="0"/>
              <w:right w:val="nil"/>
            </w:tcBorders>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6.7×10-6</w:t>
            </w:r>
          </w:p>
        </w:tc>
      </w:tr>
    </w:tbl>
    <w:p>
      <w:pPr>
        <w:spacing w:line="440" w:lineRule="exact"/>
        <w:ind w:firstLine="480"/>
        <w:rPr>
          <w:rFonts w:ascii="Times New Roman" w:hAnsi="Times New Roman" w:cs="Times New Roman"/>
        </w:rPr>
      </w:pPr>
      <w:r>
        <w:rPr>
          <w:rFonts w:ascii="Times New Roman" w:hAnsi="Times New Roman" w:cs="Times New Roman"/>
        </w:rPr>
        <w:t>由表2.2-12 可知，大部分化工设备事故发生概率在10</w:t>
      </w:r>
      <w:r>
        <w:rPr>
          <w:rFonts w:ascii="Times New Roman" w:hAnsi="Times New Roman" w:cs="Times New Roman"/>
          <w:vertAlign w:val="superscript"/>
        </w:rPr>
        <w:t>-5</w:t>
      </w:r>
      <w:r>
        <w:rPr>
          <w:rFonts w:ascii="Times New Roman" w:hAnsi="Times New Roman" w:cs="Times New Roman"/>
        </w:rPr>
        <w:t>-10</w:t>
      </w:r>
      <w:r>
        <w:rPr>
          <w:rFonts w:ascii="Times New Roman" w:hAnsi="Times New Roman" w:cs="Times New Roman"/>
          <w:vertAlign w:val="superscript"/>
        </w:rPr>
        <w:t>-6</w:t>
      </w:r>
      <w:r>
        <w:rPr>
          <w:rFonts w:ascii="Times New Roman" w:hAnsi="Times New Roman" w:cs="Times New Roman"/>
        </w:rPr>
        <w:t>之间。随着近年来防灾技术水平的提高，呈下降趋势。根据上述资料，确定本项目最大可信事故的概率为1.2×10</w:t>
      </w:r>
      <w:r>
        <w:rPr>
          <w:rFonts w:ascii="Times New Roman" w:hAnsi="Times New Roman" w:cs="Times New Roman"/>
          <w:vertAlign w:val="superscript"/>
        </w:rPr>
        <w:t>-6</w:t>
      </w:r>
      <w:r>
        <w:rPr>
          <w:rFonts w:ascii="Times New Roman" w:hAnsi="Times New Roman" w:cs="Times New Roman"/>
        </w:rPr>
        <w:t>次/年。</w:t>
      </w:r>
    </w:p>
    <w:p>
      <w:pPr>
        <w:pStyle w:val="5"/>
        <w:kinsoku w:val="0"/>
        <w:overflowPunct w:val="0"/>
        <w:spacing w:line="374" w:lineRule="auto"/>
        <w:ind w:left="239" w:right="254" w:firstLine="476"/>
        <w:rPr>
          <w:rFonts w:ascii="Times New Roman" w:hAnsi="Times New Roman" w:cs="Times New Roman"/>
          <w:spacing w:val="-1"/>
        </w:rPr>
      </w:pPr>
      <w:r>
        <w:rPr>
          <w:rFonts w:ascii="Times New Roman" w:hAnsi="Times New Roman" w:cs="Times New Roman"/>
          <w:spacing w:val="-1"/>
        </w:rPr>
        <w:t xml:space="preserve">4、最大可信事故的确定 </w:t>
      </w:r>
    </w:p>
    <w:p>
      <w:pPr>
        <w:spacing w:line="440" w:lineRule="exact"/>
        <w:ind w:firstLine="480"/>
        <w:rPr>
          <w:rFonts w:ascii="Times New Roman" w:hAnsi="Times New Roman" w:cs="Times New Roman"/>
        </w:rPr>
      </w:pPr>
      <w:r>
        <w:rPr>
          <w:rFonts w:ascii="Times New Roman" w:hAnsi="Times New Roman" w:cs="Times New Roman"/>
        </w:rPr>
        <w:t>按照《建设项目环境风险评价技术导则》中的定义，最大可信事故指：在所有预测的概率不为零的事故中，对环境（或健康）危害最严重的重大事故。由表2.2-1可知，本项目危险品库泄漏等事故的发生概率不为零。</w:t>
      </w:r>
    </w:p>
    <w:p>
      <w:pPr>
        <w:spacing w:line="440" w:lineRule="exact"/>
        <w:ind w:firstLine="480"/>
        <w:rPr>
          <w:rFonts w:ascii="Times New Roman" w:hAnsi="Times New Roman" w:cs="Times New Roman"/>
        </w:rPr>
      </w:pPr>
      <w:r>
        <w:rPr>
          <w:rFonts w:ascii="Times New Roman" w:hAnsi="Times New Roman" w:cs="Times New Roman"/>
        </w:rPr>
        <w:t>储桶发生泄漏，短时间内很难发觉，且贮存单元的物料量要远远大于生产时的加工量，因此贮存单元的泄漏事故对环境或健康的危害要远远大于生产单元。由此确定本项目的最大可信事故：设备故障或操作不当，造成贮存单元电解液，即碳酸丙烯酯、碳酸乙烯酯、碳酸二甲酯、碳酸二乙酯、碳酸甲乙酯、六氟磷酸锂混合液的泄漏可能引发的火灾，以及泄漏的物料受热分解产生的氟化物进入大气，向周围环境扩散。</w:t>
      </w:r>
    </w:p>
    <w:p>
      <w:pPr>
        <w:keepNext/>
        <w:keepLines/>
        <w:pageBreakBefore/>
        <w:numPr>
          <w:ilvl w:val="0"/>
          <w:numId w:val="1"/>
        </w:numPr>
        <w:autoSpaceDE w:val="0"/>
        <w:autoSpaceDN w:val="0"/>
        <w:adjustRightInd w:val="0"/>
        <w:spacing w:before="400" w:after="600" w:line="240" w:lineRule="auto"/>
        <w:ind w:firstLineChars="0"/>
        <w:jc w:val="center"/>
        <w:textAlignment w:val="baseline"/>
        <w:outlineLvl w:val="0"/>
        <w:rPr>
          <w:rFonts w:ascii="Times New Roman" w:hAnsi="Times New Roman" w:eastAsia="黑体" w:cs="Times New Roman"/>
          <w:b/>
          <w:bCs/>
          <w:sz w:val="36"/>
          <w:szCs w:val="36"/>
        </w:rPr>
      </w:pPr>
      <w:bookmarkStart w:id="8" w:name="_Toc422308957"/>
      <w:r>
        <w:rPr>
          <w:rFonts w:ascii="Times New Roman" w:hAnsi="Times New Roman" w:eastAsia="黑体" w:cs="Times New Roman"/>
          <w:b/>
          <w:bCs/>
          <w:sz w:val="36"/>
          <w:szCs w:val="36"/>
        </w:rPr>
        <w:t>风险后果计算</w:t>
      </w:r>
      <w:bookmarkEnd w:id="8"/>
    </w:p>
    <w:p>
      <w:pPr>
        <w:numPr>
          <w:ilvl w:val="1"/>
          <w:numId w:val="1"/>
        </w:numPr>
        <w:autoSpaceDE w:val="0"/>
        <w:autoSpaceDN w:val="0"/>
        <w:adjustRightInd w:val="0"/>
        <w:snapToGrid w:val="0"/>
        <w:spacing w:line="600" w:lineRule="exact"/>
        <w:ind w:firstLineChars="0"/>
        <w:jc w:val="left"/>
        <w:textAlignment w:val="baseline"/>
        <w:outlineLvl w:val="1"/>
        <w:rPr>
          <w:rFonts w:ascii="Times New Roman" w:hAnsi="Times New Roman" w:eastAsia="黑体" w:cs="Times New Roman"/>
          <w:b/>
          <w:bCs/>
          <w:sz w:val="30"/>
          <w:szCs w:val="32"/>
        </w:rPr>
      </w:pPr>
      <w:r>
        <w:rPr>
          <w:rFonts w:ascii="Times New Roman" w:hAnsi="Times New Roman" w:eastAsia="黑体" w:cs="Times New Roman"/>
          <w:b/>
          <w:bCs/>
          <w:sz w:val="30"/>
          <w:szCs w:val="32"/>
        </w:rPr>
        <w:t>泄漏事故影响分析</w:t>
      </w:r>
    </w:p>
    <w:p>
      <w:pPr>
        <w:spacing w:line="440" w:lineRule="exact"/>
        <w:ind w:firstLine="476"/>
        <w:rPr>
          <w:rFonts w:ascii="Times New Roman" w:hAnsi="Times New Roman" w:eastAsia="黑体" w:cs="Times New Roman"/>
          <w:b/>
          <w:bCs/>
          <w:sz w:val="30"/>
          <w:szCs w:val="32"/>
        </w:rPr>
      </w:pPr>
      <w:r>
        <w:rPr>
          <w:rFonts w:ascii="Times New Roman" w:hAnsi="Times New Roman" w:cs="Times New Roman"/>
          <w:spacing w:val="-1"/>
        </w:rPr>
        <w:t>主要考虑储区电解液泄漏中主要物质六氟磷酸锂受热产生氟化氢气体，持续</w:t>
      </w:r>
      <w:r>
        <w:rPr>
          <w:rFonts w:ascii="Times New Roman" w:hAnsi="Times New Roman" w:cs="Times New Roman"/>
          <w:w w:val="105"/>
        </w:rPr>
        <w:t>时间计为</w:t>
      </w:r>
      <w:r>
        <w:rPr>
          <w:rFonts w:ascii="Times New Roman" w:hAnsi="Times New Roman" w:cs="Times New Roman"/>
          <w:spacing w:val="-82"/>
          <w:w w:val="105"/>
        </w:rPr>
        <w:t xml:space="preserve"> </w:t>
      </w:r>
      <w:r>
        <w:rPr>
          <w:rFonts w:ascii="Times New Roman" w:hAnsi="Times New Roman" w:cs="Times New Roman"/>
          <w:w w:val="105"/>
        </w:rPr>
        <w:t>10min，挥发速率为</w:t>
      </w:r>
      <w:r>
        <w:rPr>
          <w:rFonts w:ascii="Times New Roman" w:hAnsi="Times New Roman" w:cs="Times New Roman"/>
          <w:spacing w:val="-82"/>
          <w:w w:val="105"/>
        </w:rPr>
        <w:t xml:space="preserve"> </w:t>
      </w:r>
      <w:r>
        <w:rPr>
          <w:rFonts w:ascii="Times New Roman" w:hAnsi="Times New Roman" w:cs="Times New Roman"/>
          <w:w w:val="105"/>
        </w:rPr>
        <w:t>0.0165kg/s。</w:t>
      </w:r>
    </w:p>
    <w:p>
      <w:pPr>
        <w:numPr>
          <w:ilvl w:val="2"/>
          <w:numId w:val="1"/>
        </w:numPr>
        <w:autoSpaceDE w:val="0"/>
        <w:autoSpaceDN w:val="0"/>
        <w:adjustRightInd w:val="0"/>
        <w:snapToGrid w:val="0"/>
        <w:spacing w:line="600" w:lineRule="exact"/>
        <w:ind w:left="0" w:firstLine="0" w:firstLineChars="0"/>
        <w:jc w:val="left"/>
        <w:textAlignment w:val="baseline"/>
        <w:outlineLvl w:val="2"/>
        <w:rPr>
          <w:rFonts w:ascii="Times New Roman" w:hAnsi="Times New Roman" w:eastAsia="黑体" w:cs="Times New Roman"/>
          <w:b/>
          <w:snapToGrid w:val="0"/>
          <w:kern w:val="0"/>
          <w:sz w:val="28"/>
          <w:szCs w:val="28"/>
        </w:rPr>
      </w:pPr>
      <w:r>
        <w:rPr>
          <w:rFonts w:ascii="Times New Roman" w:hAnsi="Times New Roman" w:eastAsia="黑体" w:cs="Times New Roman"/>
          <w:b/>
          <w:snapToGrid w:val="0"/>
          <w:kern w:val="0"/>
          <w:sz w:val="28"/>
          <w:szCs w:val="28"/>
        </w:rPr>
        <w:t>预测模式</w:t>
      </w:r>
    </w:p>
    <w:p>
      <w:pPr>
        <w:spacing w:line="440" w:lineRule="exact"/>
        <w:ind w:firstLine="480"/>
        <w:rPr>
          <w:rFonts w:ascii="Times New Roman" w:hAnsi="Times New Roman" w:cs="Times New Roman"/>
        </w:rPr>
      </w:pPr>
      <w:r>
        <w:rPr>
          <w:rFonts w:ascii="Times New Roman" w:hAnsi="Times New Roman" w:cs="Times New Roman"/>
        </w:rPr>
        <w:t>采用下列烟团公式：</w:t>
      </w:r>
    </w:p>
    <w:p>
      <w:pPr>
        <w:ind w:firstLine="480"/>
        <w:jc w:val="center"/>
        <w:rPr>
          <w:rFonts w:ascii="Times New Roman" w:hAnsi="Times New Roman" w:cs="Times New Roman"/>
          <w:color w:val="000000"/>
        </w:rPr>
      </w:pPr>
      <w:r>
        <w:rPr>
          <w:rFonts w:ascii="Times New Roman" w:hAnsi="Times New Roman" w:cs="Times New Roman"/>
          <w:color w:val="000000"/>
          <w:position w:val="-34"/>
        </w:rPr>
        <w:drawing>
          <wp:inline distT="0" distB="0" distL="114300" distR="114300">
            <wp:extent cx="2771140" cy="504825"/>
            <wp:effectExtent l="0" t="0" r="10160" b="8890"/>
            <wp:docPr id="4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7"/>
                    <pic:cNvPicPr>
                      <a:picLocks noChangeAspect="1"/>
                    </pic:cNvPicPr>
                  </pic:nvPicPr>
                  <pic:blipFill>
                    <a:blip r:embed="rId20"/>
                    <a:stretch>
                      <a:fillRect/>
                    </a:stretch>
                  </pic:blipFill>
                  <pic:spPr>
                    <a:xfrm>
                      <a:off x="0" y="0"/>
                      <a:ext cx="2771140" cy="504825"/>
                    </a:xfrm>
                    <a:prstGeom prst="rect">
                      <a:avLst/>
                    </a:prstGeom>
                    <a:noFill/>
                    <a:ln w="9525">
                      <a:noFill/>
                    </a:ln>
                  </pic:spPr>
                </pic:pic>
              </a:graphicData>
            </a:graphic>
          </wp:inline>
        </w:drawing>
      </w:r>
      <w:r>
        <w:rPr>
          <w:rFonts w:ascii="Times New Roman" w:hAnsi="Times New Roman" w:cs="Times New Roman"/>
          <w:color w:val="000000"/>
          <w:position w:val="-36"/>
        </w:rPr>
        <w:drawing>
          <wp:inline distT="0" distB="0" distL="114300" distR="114300">
            <wp:extent cx="1866900" cy="533400"/>
            <wp:effectExtent l="0" t="0" r="0" b="0"/>
            <wp:docPr id="4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8"/>
                    <pic:cNvPicPr>
                      <a:picLocks noChangeAspect="1"/>
                    </pic:cNvPicPr>
                  </pic:nvPicPr>
                  <pic:blipFill>
                    <a:blip r:embed="rId21"/>
                    <a:stretch>
                      <a:fillRect/>
                    </a:stretch>
                  </pic:blipFill>
                  <pic:spPr>
                    <a:xfrm>
                      <a:off x="0" y="0"/>
                      <a:ext cx="1866900" cy="533400"/>
                    </a:xfrm>
                    <a:prstGeom prst="rect">
                      <a:avLst/>
                    </a:prstGeom>
                    <a:noFill/>
                    <a:ln w="9525">
                      <a:noFill/>
                    </a:ln>
                  </pic:spPr>
                </pic:pic>
              </a:graphicData>
            </a:graphic>
          </wp:inline>
        </w:drawing>
      </w:r>
    </w:p>
    <w:p>
      <w:pPr>
        <w:spacing w:line="440" w:lineRule="exact"/>
        <w:ind w:firstLine="480"/>
        <w:rPr>
          <w:rFonts w:ascii="Times New Roman" w:hAnsi="Times New Roman" w:cs="Times New Roman"/>
          <w:color w:val="000000"/>
        </w:rPr>
      </w:pPr>
      <w:r>
        <w:rPr>
          <w:rFonts w:ascii="Times New Roman" w:hAnsi="Times New Roman" w:cs="Times New Roman"/>
          <w:color w:val="000000"/>
        </w:rPr>
        <w:t>式中：</w:t>
      </w:r>
      <w:r>
        <w:rPr>
          <w:rFonts w:ascii="Times New Roman" w:hAnsi="Times New Roman" w:cs="Times New Roman"/>
          <w:color w:val="000000"/>
          <w:position w:val="-10"/>
        </w:rPr>
        <w:drawing>
          <wp:inline distT="0" distB="0" distL="114300" distR="114300">
            <wp:extent cx="542925" cy="200025"/>
            <wp:effectExtent l="0" t="0" r="9525" b="8890"/>
            <wp:docPr id="4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9"/>
                    <pic:cNvPicPr>
                      <a:picLocks noChangeAspect="1"/>
                    </pic:cNvPicPr>
                  </pic:nvPicPr>
                  <pic:blipFill>
                    <a:blip r:embed="rId22"/>
                    <a:stretch>
                      <a:fillRect/>
                    </a:stretch>
                  </pic:blipFill>
                  <pic:spPr>
                    <a:xfrm>
                      <a:off x="0" y="0"/>
                      <a:ext cx="542925" cy="200025"/>
                    </a:xfrm>
                    <a:prstGeom prst="rect">
                      <a:avLst/>
                    </a:prstGeom>
                    <a:noFill/>
                    <a:ln w="9525">
                      <a:noFill/>
                    </a:ln>
                  </pic:spPr>
                </pic:pic>
              </a:graphicData>
            </a:graphic>
          </wp:inline>
        </w:drawing>
      </w:r>
      <w:r>
        <w:rPr>
          <w:rFonts w:ascii="Times New Roman" w:hAnsi="Times New Roman" w:cs="Times New Roman"/>
          <w:color w:val="000000"/>
        </w:rPr>
        <w:t>——下风向地面(x,y)坐标处的空气中污染物浓度，mg/m</w:t>
      </w:r>
      <w:r>
        <w:rPr>
          <w:rFonts w:ascii="Times New Roman" w:hAnsi="Times New Roman" w:cs="Times New Roman"/>
          <w:color w:val="000000"/>
          <w:vertAlign w:val="superscript"/>
        </w:rPr>
        <w:t>3</w:t>
      </w:r>
      <w:r>
        <w:rPr>
          <w:rFonts w:ascii="Times New Roman" w:hAnsi="Times New Roman" w:cs="Times New Roman"/>
          <w:color w:val="000000"/>
        </w:rPr>
        <w:t>；</w:t>
      </w:r>
    </w:p>
    <w:p>
      <w:pPr>
        <w:spacing w:line="440" w:lineRule="exact"/>
        <w:ind w:firstLine="480"/>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position w:val="-12"/>
        </w:rPr>
        <w:drawing>
          <wp:inline distT="0" distB="0" distL="114300" distR="114300">
            <wp:extent cx="581025" cy="247650"/>
            <wp:effectExtent l="0" t="0" r="9525" b="0"/>
            <wp:docPr id="4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0"/>
                    <pic:cNvPicPr>
                      <a:picLocks noChangeAspect="1"/>
                    </pic:cNvPicPr>
                  </pic:nvPicPr>
                  <pic:blipFill>
                    <a:blip r:embed="rId23"/>
                    <a:stretch>
                      <a:fillRect/>
                    </a:stretch>
                  </pic:blipFill>
                  <pic:spPr>
                    <a:xfrm>
                      <a:off x="0" y="0"/>
                      <a:ext cx="581025" cy="247650"/>
                    </a:xfrm>
                    <a:prstGeom prst="rect">
                      <a:avLst/>
                    </a:prstGeom>
                    <a:noFill/>
                    <a:ln w="9525">
                      <a:noFill/>
                    </a:ln>
                  </pic:spPr>
                </pic:pic>
              </a:graphicData>
            </a:graphic>
          </wp:inline>
        </w:drawing>
      </w:r>
      <w:r>
        <w:rPr>
          <w:rFonts w:ascii="Times New Roman" w:hAnsi="Times New Roman" w:cs="Times New Roman"/>
          <w:color w:val="000000"/>
        </w:rPr>
        <w:t>——烟团中心坐标；</w:t>
      </w:r>
    </w:p>
    <w:p>
      <w:pPr>
        <w:spacing w:line="440" w:lineRule="exact"/>
        <w:ind w:firstLine="480"/>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position w:val="-10"/>
        </w:rPr>
        <w:drawing>
          <wp:inline distT="0" distB="0" distL="114300" distR="114300">
            <wp:extent cx="161290" cy="200025"/>
            <wp:effectExtent l="0" t="0" r="10160" b="6985"/>
            <wp:docPr id="4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1"/>
                    <pic:cNvPicPr>
                      <a:picLocks noChangeAspect="1"/>
                    </pic:cNvPicPr>
                  </pic:nvPicPr>
                  <pic:blipFill>
                    <a:blip r:embed="rId24"/>
                    <a:stretch>
                      <a:fillRect/>
                    </a:stretch>
                  </pic:blipFill>
                  <pic:spPr>
                    <a:xfrm>
                      <a:off x="0" y="0"/>
                      <a:ext cx="161290" cy="200025"/>
                    </a:xfrm>
                    <a:prstGeom prst="rect">
                      <a:avLst/>
                    </a:prstGeom>
                    <a:noFill/>
                    <a:ln w="9525">
                      <a:noFill/>
                    </a:ln>
                  </pic:spPr>
                </pic:pic>
              </a:graphicData>
            </a:graphic>
          </wp:inline>
        </w:drawing>
      </w:r>
      <w:r>
        <w:rPr>
          <w:rFonts w:ascii="Times New Roman" w:hAnsi="Times New Roman" w:cs="Times New Roman"/>
          <w:color w:val="000000"/>
        </w:rPr>
        <w:t>——事故期间烟团的排放量；</w:t>
      </w:r>
    </w:p>
    <w:p>
      <w:pPr>
        <w:spacing w:line="440" w:lineRule="exact"/>
        <w:ind w:firstLine="480"/>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position w:val="-14"/>
        </w:rPr>
        <w:drawing>
          <wp:inline distT="0" distB="0" distL="114300" distR="114300">
            <wp:extent cx="819150" cy="257175"/>
            <wp:effectExtent l="0" t="0" r="0" b="6350"/>
            <wp:docPr id="4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2"/>
                    <pic:cNvPicPr>
                      <a:picLocks noChangeAspect="1"/>
                    </pic:cNvPicPr>
                  </pic:nvPicPr>
                  <pic:blipFill>
                    <a:blip r:embed="rId25"/>
                    <a:stretch>
                      <a:fillRect/>
                    </a:stretch>
                  </pic:blipFill>
                  <pic:spPr>
                    <a:xfrm>
                      <a:off x="0" y="0"/>
                      <a:ext cx="819150" cy="257175"/>
                    </a:xfrm>
                    <a:prstGeom prst="rect">
                      <a:avLst/>
                    </a:prstGeom>
                    <a:noFill/>
                    <a:ln w="9525">
                      <a:noFill/>
                    </a:ln>
                  </pic:spPr>
                </pic:pic>
              </a:graphicData>
            </a:graphic>
          </wp:inline>
        </w:drawing>
      </w:r>
      <w:r>
        <w:rPr>
          <w:rFonts w:ascii="Times New Roman" w:hAnsi="Times New Roman" w:cs="Times New Roman"/>
          <w:color w:val="000000"/>
        </w:rPr>
        <w:t>——为x、y、z方向的扩散参数，m。</w:t>
      </w:r>
    </w:p>
    <w:p>
      <w:pPr>
        <w:spacing w:line="440" w:lineRule="exact"/>
        <w:ind w:firstLine="960" w:firstLineChars="400"/>
        <w:rPr>
          <w:rFonts w:ascii="Times New Roman" w:hAnsi="Times New Roman" w:cs="Times New Roman"/>
          <w:color w:val="000000"/>
        </w:rPr>
      </w:pPr>
      <w:r>
        <w:rPr>
          <w:rFonts w:ascii="Times New Roman" w:hAnsi="Times New Roman" w:cs="Times New Roman"/>
          <w:color w:val="000000"/>
        </w:rPr>
        <w:t>常取</w:t>
      </w:r>
      <w:r>
        <w:rPr>
          <w:rFonts w:ascii="Times New Roman" w:hAnsi="Times New Roman" w:cs="Times New Roman"/>
          <w:color w:val="000000"/>
          <w:position w:val="-14"/>
        </w:rPr>
        <w:drawing>
          <wp:inline distT="0" distB="0" distL="114300" distR="114300">
            <wp:extent cx="533400" cy="257175"/>
            <wp:effectExtent l="0" t="0" r="0" b="6350"/>
            <wp:docPr id="4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3"/>
                    <pic:cNvPicPr>
                      <a:picLocks noChangeAspect="1"/>
                    </pic:cNvPicPr>
                  </pic:nvPicPr>
                  <pic:blipFill>
                    <a:blip r:embed="rId26"/>
                    <a:stretch>
                      <a:fillRect/>
                    </a:stretch>
                  </pic:blipFill>
                  <pic:spPr>
                    <a:xfrm>
                      <a:off x="0" y="0"/>
                      <a:ext cx="533400" cy="257175"/>
                    </a:xfrm>
                    <a:prstGeom prst="rect">
                      <a:avLst/>
                    </a:prstGeom>
                    <a:noFill/>
                    <a:ln w="9525">
                      <a:noFill/>
                    </a:ln>
                  </pic:spPr>
                </pic:pic>
              </a:graphicData>
            </a:graphic>
          </wp:inline>
        </w:drawing>
      </w:r>
    </w:p>
    <w:p>
      <w:pPr>
        <w:spacing w:line="440" w:lineRule="exact"/>
        <w:ind w:firstLine="480"/>
        <w:rPr>
          <w:rFonts w:ascii="Times New Roman" w:hAnsi="Times New Roman" w:cs="Times New Roman"/>
          <w:color w:val="000000"/>
        </w:rPr>
      </w:pPr>
      <w:r>
        <w:rPr>
          <w:rFonts w:ascii="Times New Roman" w:hAnsi="Times New Roman" w:cs="Times New Roman"/>
          <w:color w:val="000000"/>
        </w:rPr>
        <w:t>对于瞬时或短时间事故，可采用下述变天条件下多烟团模式：</w:t>
      </w:r>
    </w:p>
    <w:p>
      <w:pPr>
        <w:ind w:firstLine="480"/>
        <w:jc w:val="center"/>
        <w:rPr>
          <w:rFonts w:ascii="Times New Roman" w:hAnsi="Times New Roman" w:cs="Times New Roman"/>
          <w:color w:val="000000"/>
        </w:rPr>
      </w:pPr>
      <w:r>
        <w:rPr>
          <w:rFonts w:ascii="Times New Roman" w:hAnsi="Times New Roman" w:cs="Times New Roman"/>
          <w:color w:val="000000"/>
          <w:position w:val="-38"/>
          <w:szCs w:val="21"/>
        </w:rPr>
        <w:drawing>
          <wp:inline distT="0" distB="0" distL="114300" distR="114300">
            <wp:extent cx="5038725" cy="447675"/>
            <wp:effectExtent l="0" t="0" r="0" b="8890"/>
            <wp:docPr id="4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4"/>
                    <pic:cNvPicPr>
                      <a:picLocks noChangeAspect="1"/>
                    </pic:cNvPicPr>
                  </pic:nvPicPr>
                  <pic:blipFill>
                    <a:blip r:embed="rId27"/>
                    <a:stretch>
                      <a:fillRect/>
                    </a:stretch>
                  </pic:blipFill>
                  <pic:spPr>
                    <a:xfrm>
                      <a:off x="0" y="0"/>
                      <a:ext cx="5038725" cy="447675"/>
                    </a:xfrm>
                    <a:prstGeom prst="rect">
                      <a:avLst/>
                    </a:prstGeom>
                    <a:noFill/>
                    <a:ln w="9525">
                      <a:noFill/>
                    </a:ln>
                  </pic:spPr>
                </pic:pic>
              </a:graphicData>
            </a:graphic>
          </wp:inline>
        </w:drawing>
      </w:r>
    </w:p>
    <w:p>
      <w:pPr>
        <w:spacing w:line="440" w:lineRule="exact"/>
        <w:ind w:firstLine="480"/>
        <w:rPr>
          <w:rFonts w:ascii="Times New Roman" w:hAnsi="Times New Roman" w:cs="Times New Roman"/>
          <w:color w:val="000000"/>
        </w:rPr>
      </w:pPr>
      <w:r>
        <w:rPr>
          <w:rFonts w:ascii="Times New Roman" w:hAnsi="Times New Roman" w:cs="Times New Roman"/>
          <w:color w:val="000000"/>
        </w:rPr>
        <w:t>式中：</w:t>
      </w:r>
      <w:r>
        <w:rPr>
          <w:rFonts w:ascii="Times New Roman" w:hAnsi="Times New Roman" w:cs="Times New Roman"/>
          <w:color w:val="000000"/>
          <w:position w:val="-12"/>
        </w:rPr>
        <w:drawing>
          <wp:inline distT="0" distB="0" distL="114300" distR="114300">
            <wp:extent cx="790575" cy="257175"/>
            <wp:effectExtent l="0" t="0" r="9525" b="8255"/>
            <wp:docPr id="4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5"/>
                    <pic:cNvPicPr>
                      <a:picLocks noChangeAspect="1"/>
                    </pic:cNvPicPr>
                  </pic:nvPicPr>
                  <pic:blipFill>
                    <a:blip r:embed="rId28"/>
                    <a:stretch>
                      <a:fillRect/>
                    </a:stretch>
                  </pic:blipFill>
                  <pic:spPr>
                    <a:xfrm>
                      <a:off x="0" y="0"/>
                      <a:ext cx="790575" cy="257175"/>
                    </a:xfrm>
                    <a:prstGeom prst="rect">
                      <a:avLst/>
                    </a:prstGeom>
                    <a:noFill/>
                    <a:ln w="9525">
                      <a:noFill/>
                    </a:ln>
                  </pic:spPr>
                </pic:pic>
              </a:graphicData>
            </a:graphic>
          </wp:inline>
        </w:drawing>
      </w:r>
      <w:r>
        <w:rPr>
          <w:rFonts w:ascii="Times New Roman" w:hAnsi="Times New Roman" w:cs="Times New Roman"/>
          <w:color w:val="000000"/>
        </w:rPr>
        <w:t xml:space="preserve"> ——第</w:t>
      </w:r>
      <w:r>
        <w:rPr>
          <w:rFonts w:ascii="Times New Roman" w:hAnsi="Times New Roman" w:cs="Times New Roman"/>
          <w:color w:val="000000"/>
          <w:position w:val="-6"/>
        </w:rPr>
        <w:drawing>
          <wp:inline distT="0" distB="0" distL="114300" distR="114300">
            <wp:extent cx="85725" cy="161925"/>
            <wp:effectExtent l="0" t="0" r="9525" b="7620"/>
            <wp:docPr id="5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6"/>
                    <pic:cNvPicPr>
                      <a:picLocks noChangeAspect="1"/>
                    </pic:cNvPicPr>
                  </pic:nvPicPr>
                  <pic:blipFill>
                    <a:blip r:embed="rId29"/>
                    <a:stretch>
                      <a:fillRect/>
                    </a:stretch>
                  </pic:blipFill>
                  <pic:spPr>
                    <a:xfrm>
                      <a:off x="0" y="0"/>
                      <a:ext cx="85725" cy="161925"/>
                    </a:xfrm>
                    <a:prstGeom prst="rect">
                      <a:avLst/>
                    </a:prstGeom>
                    <a:noFill/>
                    <a:ln w="9525">
                      <a:noFill/>
                    </a:ln>
                  </pic:spPr>
                </pic:pic>
              </a:graphicData>
            </a:graphic>
          </wp:inline>
        </w:drawing>
      </w:r>
      <w:r>
        <w:rPr>
          <w:rFonts w:ascii="Times New Roman" w:hAnsi="Times New Roman" w:cs="Times New Roman"/>
          <w:color w:val="000000"/>
        </w:rPr>
        <w:t>个烟团在</w:t>
      </w:r>
      <w:r>
        <w:rPr>
          <w:rFonts w:ascii="Times New Roman" w:hAnsi="Times New Roman" w:cs="Times New Roman"/>
          <w:color w:val="000000"/>
          <w:position w:val="-12"/>
        </w:rPr>
        <w:drawing>
          <wp:inline distT="0" distB="0" distL="114300" distR="114300">
            <wp:extent cx="161290" cy="247015"/>
            <wp:effectExtent l="0" t="0" r="10160" b="635"/>
            <wp:docPr id="5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7"/>
                    <pic:cNvPicPr>
                      <a:picLocks noChangeAspect="1"/>
                    </pic:cNvPicPr>
                  </pic:nvPicPr>
                  <pic:blipFill>
                    <a:blip r:embed="rId30"/>
                    <a:stretch>
                      <a:fillRect/>
                    </a:stretch>
                  </pic:blipFill>
                  <pic:spPr>
                    <a:xfrm>
                      <a:off x="0" y="0"/>
                      <a:ext cx="161290" cy="247015"/>
                    </a:xfrm>
                    <a:prstGeom prst="rect">
                      <a:avLst/>
                    </a:prstGeom>
                    <a:noFill/>
                    <a:ln w="9525">
                      <a:noFill/>
                    </a:ln>
                  </pic:spPr>
                </pic:pic>
              </a:graphicData>
            </a:graphic>
          </wp:inline>
        </w:drawing>
      </w:r>
      <w:r>
        <w:rPr>
          <w:rFonts w:ascii="Times New Roman" w:hAnsi="Times New Roman" w:cs="Times New Roman"/>
          <w:color w:val="000000"/>
        </w:rPr>
        <w:t>时刻（即第</w:t>
      </w:r>
      <w:r>
        <w:rPr>
          <w:rFonts w:ascii="Times New Roman" w:hAnsi="Times New Roman" w:cs="Times New Roman"/>
          <w:color w:val="000000"/>
          <w:position w:val="-6"/>
        </w:rPr>
        <w:drawing>
          <wp:inline distT="0" distB="0" distL="114300" distR="114300">
            <wp:extent cx="161925" cy="142875"/>
            <wp:effectExtent l="0" t="0" r="9525" b="8255"/>
            <wp:docPr id="5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8"/>
                    <pic:cNvPicPr>
                      <a:picLocks noChangeAspect="1"/>
                    </pic:cNvPicPr>
                  </pic:nvPicPr>
                  <pic:blipFill>
                    <a:blip r:embed="rId31"/>
                    <a:stretch>
                      <a:fillRect/>
                    </a:stretch>
                  </pic:blipFill>
                  <pic:spPr>
                    <a:xfrm>
                      <a:off x="0" y="0"/>
                      <a:ext cx="161925" cy="142875"/>
                    </a:xfrm>
                    <a:prstGeom prst="rect">
                      <a:avLst/>
                    </a:prstGeom>
                    <a:noFill/>
                    <a:ln w="9525">
                      <a:noFill/>
                    </a:ln>
                  </pic:spPr>
                </pic:pic>
              </a:graphicData>
            </a:graphic>
          </wp:inline>
        </w:drawing>
      </w:r>
      <w:r>
        <w:rPr>
          <w:rFonts w:ascii="Times New Roman" w:hAnsi="Times New Roman" w:cs="Times New Roman"/>
          <w:color w:val="000000"/>
        </w:rPr>
        <w:t>时段）在点</w:t>
      </w:r>
      <w:r>
        <w:rPr>
          <w:rFonts w:ascii="Times New Roman" w:hAnsi="Times New Roman" w:cs="Times New Roman"/>
          <w:color w:val="000000"/>
          <w:position w:val="-10"/>
        </w:rPr>
        <w:drawing>
          <wp:inline distT="0" distB="0" distL="114300" distR="114300">
            <wp:extent cx="466725" cy="200025"/>
            <wp:effectExtent l="0" t="0" r="9525" b="8890"/>
            <wp:docPr id="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9"/>
                    <pic:cNvPicPr>
                      <a:picLocks noChangeAspect="1"/>
                    </pic:cNvPicPr>
                  </pic:nvPicPr>
                  <pic:blipFill>
                    <a:blip r:embed="rId32"/>
                    <a:stretch>
                      <a:fillRect/>
                    </a:stretch>
                  </pic:blipFill>
                  <pic:spPr>
                    <a:xfrm>
                      <a:off x="0" y="0"/>
                      <a:ext cx="466725" cy="200025"/>
                    </a:xfrm>
                    <a:prstGeom prst="rect">
                      <a:avLst/>
                    </a:prstGeom>
                    <a:noFill/>
                    <a:ln w="9525">
                      <a:noFill/>
                    </a:ln>
                  </pic:spPr>
                </pic:pic>
              </a:graphicData>
            </a:graphic>
          </wp:inline>
        </w:drawing>
      </w:r>
      <w:r>
        <w:rPr>
          <w:rFonts w:ascii="Times New Roman" w:hAnsi="Times New Roman" w:cs="Times New Roman"/>
          <w:color w:val="000000"/>
        </w:rPr>
        <w:t>产生的地面浓度；</w:t>
      </w:r>
    </w:p>
    <w:p>
      <w:pPr>
        <w:spacing w:line="440" w:lineRule="exact"/>
        <w:ind w:firstLine="480"/>
        <w:rPr>
          <w:rFonts w:ascii="Times New Roman" w:hAnsi="Times New Roman" w:cs="Times New Roman"/>
          <w:color w:val="000000"/>
        </w:rPr>
      </w:pPr>
      <w:r>
        <w:rPr>
          <w:rFonts w:ascii="Times New Roman" w:hAnsi="Times New Roman" w:cs="Times New Roman"/>
          <w:color w:val="000000"/>
          <w:position w:val="-10"/>
        </w:rPr>
        <w:drawing>
          <wp:inline distT="0" distB="0" distL="114300" distR="114300">
            <wp:extent cx="171450" cy="200025"/>
            <wp:effectExtent l="0" t="0" r="0" b="7620"/>
            <wp:docPr id="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0"/>
                    <pic:cNvPicPr>
                      <a:picLocks noChangeAspect="1"/>
                    </pic:cNvPicPr>
                  </pic:nvPicPr>
                  <pic:blipFill>
                    <a:blip r:embed="rId33"/>
                    <a:stretch>
                      <a:fillRect/>
                    </a:stretch>
                  </pic:blipFill>
                  <pic:spPr>
                    <a:xfrm>
                      <a:off x="0" y="0"/>
                      <a:ext cx="171450" cy="200025"/>
                    </a:xfrm>
                    <a:prstGeom prst="rect">
                      <a:avLst/>
                    </a:prstGeom>
                    <a:noFill/>
                    <a:ln w="9525">
                      <a:noFill/>
                    </a:ln>
                  </pic:spPr>
                </pic:pic>
              </a:graphicData>
            </a:graphic>
          </wp:inline>
        </w:drawing>
      </w:r>
      <w:r>
        <w:rPr>
          <w:rFonts w:ascii="Times New Roman" w:hAnsi="Times New Roman" w:cs="Times New Roman"/>
          <w:color w:val="000000"/>
        </w:rPr>
        <w:t>——烟团排放量，mg，</w:t>
      </w:r>
      <w:r>
        <w:rPr>
          <w:rFonts w:ascii="Times New Roman" w:hAnsi="Times New Roman" w:cs="Times New Roman"/>
          <w:color w:val="000000"/>
          <w:position w:val="-10"/>
        </w:rPr>
        <w:drawing>
          <wp:inline distT="0" distB="0" distL="114300" distR="114300">
            <wp:extent cx="581025" cy="200025"/>
            <wp:effectExtent l="0" t="0" r="9525" b="7620"/>
            <wp:docPr id="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1"/>
                    <pic:cNvPicPr>
                      <a:picLocks noChangeAspect="1"/>
                    </pic:cNvPicPr>
                  </pic:nvPicPr>
                  <pic:blipFill>
                    <a:blip r:embed="rId34"/>
                    <a:stretch>
                      <a:fillRect/>
                    </a:stretch>
                  </pic:blipFill>
                  <pic:spPr>
                    <a:xfrm>
                      <a:off x="0" y="0"/>
                      <a:ext cx="581025" cy="200025"/>
                    </a:xfrm>
                    <a:prstGeom prst="rect">
                      <a:avLst/>
                    </a:prstGeom>
                    <a:noFill/>
                    <a:ln w="9525">
                      <a:noFill/>
                    </a:ln>
                  </pic:spPr>
                </pic:pic>
              </a:graphicData>
            </a:graphic>
          </wp:inline>
        </w:drawing>
      </w:r>
      <w:r>
        <w:rPr>
          <w:rFonts w:ascii="Times New Roman" w:hAnsi="Times New Roman" w:cs="Times New Roman"/>
          <w:color w:val="000000"/>
        </w:rPr>
        <w:t>；</w:t>
      </w:r>
      <w:r>
        <w:rPr>
          <w:rFonts w:ascii="Times New Roman" w:hAnsi="Times New Roman" w:cs="Times New Roman"/>
          <w:color w:val="000000"/>
          <w:position w:val="-10"/>
        </w:rPr>
        <w:drawing>
          <wp:inline distT="0" distB="0" distL="114300" distR="114300">
            <wp:extent cx="161290" cy="200025"/>
            <wp:effectExtent l="0" t="0" r="10160" b="6985"/>
            <wp:docPr id="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2"/>
                    <pic:cNvPicPr>
                      <a:picLocks noChangeAspect="1"/>
                    </pic:cNvPicPr>
                  </pic:nvPicPr>
                  <pic:blipFill>
                    <a:blip r:embed="rId35"/>
                    <a:stretch>
                      <a:fillRect/>
                    </a:stretch>
                  </pic:blipFill>
                  <pic:spPr>
                    <a:xfrm>
                      <a:off x="0" y="0"/>
                      <a:ext cx="161290" cy="200025"/>
                    </a:xfrm>
                    <a:prstGeom prst="rect">
                      <a:avLst/>
                    </a:prstGeom>
                    <a:noFill/>
                    <a:ln w="9525">
                      <a:noFill/>
                    </a:ln>
                  </pic:spPr>
                </pic:pic>
              </a:graphicData>
            </a:graphic>
          </wp:inline>
        </w:drawing>
      </w:r>
      <w:r>
        <w:rPr>
          <w:rFonts w:ascii="Times New Roman" w:hAnsi="Times New Roman" w:cs="Times New Roman"/>
          <w:color w:val="000000"/>
        </w:rPr>
        <w:t>为释放率，mg/s；</w:t>
      </w:r>
      <w:r>
        <w:rPr>
          <w:rFonts w:ascii="Times New Roman" w:hAnsi="Times New Roman" w:cs="Times New Roman"/>
          <w:color w:val="000000"/>
          <w:position w:val="-6"/>
        </w:rPr>
        <w:drawing>
          <wp:inline distT="0" distB="0" distL="114300" distR="114300">
            <wp:extent cx="200025" cy="171450"/>
            <wp:effectExtent l="0" t="0" r="9525" b="0"/>
            <wp:docPr id="5"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3"/>
                    <pic:cNvPicPr>
                      <a:picLocks noChangeAspect="1"/>
                    </pic:cNvPicPr>
                  </pic:nvPicPr>
                  <pic:blipFill>
                    <a:blip r:embed="rId36"/>
                    <a:stretch>
                      <a:fillRect/>
                    </a:stretch>
                  </pic:blipFill>
                  <pic:spPr>
                    <a:xfrm>
                      <a:off x="0" y="0"/>
                      <a:ext cx="200025" cy="171450"/>
                    </a:xfrm>
                    <a:prstGeom prst="rect">
                      <a:avLst/>
                    </a:prstGeom>
                    <a:noFill/>
                    <a:ln w="9525">
                      <a:noFill/>
                    </a:ln>
                  </pic:spPr>
                </pic:pic>
              </a:graphicData>
            </a:graphic>
          </wp:inline>
        </w:drawing>
      </w:r>
      <w:r>
        <w:rPr>
          <w:rFonts w:ascii="Times New Roman" w:hAnsi="Times New Roman" w:cs="Times New Roman"/>
          <w:color w:val="000000"/>
        </w:rPr>
        <w:t>为时段长度，s；</w:t>
      </w:r>
    </w:p>
    <w:p>
      <w:pPr>
        <w:spacing w:line="440" w:lineRule="exact"/>
        <w:ind w:firstLine="480"/>
        <w:rPr>
          <w:rFonts w:ascii="Times New Roman" w:hAnsi="Times New Roman" w:cs="Times New Roman"/>
          <w:color w:val="000000"/>
        </w:rPr>
      </w:pPr>
      <w:r>
        <w:rPr>
          <w:rFonts w:ascii="Times New Roman" w:hAnsi="Times New Roman" w:cs="Times New Roman"/>
          <w:color w:val="000000"/>
          <w:position w:val="-14"/>
        </w:rPr>
        <w:drawing>
          <wp:inline distT="0" distB="0" distL="114300" distR="114300">
            <wp:extent cx="1247775" cy="257175"/>
            <wp:effectExtent l="0" t="0" r="0" b="6350"/>
            <wp:docPr id="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4"/>
                    <pic:cNvPicPr>
                      <a:picLocks noChangeAspect="1"/>
                    </pic:cNvPicPr>
                  </pic:nvPicPr>
                  <pic:blipFill>
                    <a:blip r:embed="rId37"/>
                    <a:stretch>
                      <a:fillRect/>
                    </a:stretch>
                  </pic:blipFill>
                  <pic:spPr>
                    <a:xfrm>
                      <a:off x="0" y="0"/>
                      <a:ext cx="1247775" cy="257175"/>
                    </a:xfrm>
                    <a:prstGeom prst="rect">
                      <a:avLst/>
                    </a:prstGeom>
                    <a:noFill/>
                    <a:ln w="9525">
                      <a:noFill/>
                    </a:ln>
                  </pic:spPr>
                </pic:pic>
              </a:graphicData>
            </a:graphic>
          </wp:inline>
        </w:drawing>
      </w:r>
      <w:r>
        <w:rPr>
          <w:rFonts w:ascii="Times New Roman" w:hAnsi="Times New Roman" w:cs="Times New Roman"/>
          <w:color w:val="000000"/>
        </w:rPr>
        <w:t>——烟团在</w:t>
      </w:r>
      <w:r>
        <w:rPr>
          <w:rFonts w:ascii="Times New Roman" w:hAnsi="Times New Roman" w:cs="Times New Roman"/>
          <w:color w:val="000000"/>
          <w:position w:val="-6"/>
        </w:rPr>
        <w:drawing>
          <wp:inline distT="0" distB="0" distL="114300" distR="114300">
            <wp:extent cx="161925" cy="142875"/>
            <wp:effectExtent l="0" t="0" r="9525" b="8255"/>
            <wp:docPr id="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5"/>
                    <pic:cNvPicPr>
                      <a:picLocks noChangeAspect="1"/>
                    </pic:cNvPicPr>
                  </pic:nvPicPr>
                  <pic:blipFill>
                    <a:blip r:embed="rId38"/>
                    <a:stretch>
                      <a:fillRect/>
                    </a:stretch>
                  </pic:blipFill>
                  <pic:spPr>
                    <a:xfrm>
                      <a:off x="0" y="0"/>
                      <a:ext cx="161925" cy="142875"/>
                    </a:xfrm>
                    <a:prstGeom prst="rect">
                      <a:avLst/>
                    </a:prstGeom>
                    <a:noFill/>
                    <a:ln w="9525">
                      <a:noFill/>
                    </a:ln>
                  </pic:spPr>
                </pic:pic>
              </a:graphicData>
            </a:graphic>
          </wp:inline>
        </w:drawing>
      </w:r>
      <w:r>
        <w:rPr>
          <w:rFonts w:ascii="Times New Roman" w:hAnsi="Times New Roman" w:cs="Times New Roman"/>
          <w:color w:val="000000"/>
        </w:rPr>
        <w:t>时段沿x、y和z方向的等效扩散参数，m，可由下式估算：</w:t>
      </w:r>
    </w:p>
    <w:p>
      <w:pPr>
        <w:spacing w:line="440" w:lineRule="exact"/>
        <w:ind w:firstLine="480"/>
        <w:jc w:val="center"/>
        <w:rPr>
          <w:rFonts w:ascii="Times New Roman" w:hAnsi="Times New Roman" w:cs="Times New Roman"/>
          <w:color w:val="000000"/>
        </w:rPr>
      </w:pPr>
      <w:r>
        <w:rPr>
          <w:rFonts w:ascii="Times New Roman" w:hAnsi="Times New Roman" w:cs="Times New Roman"/>
          <w:color w:val="000000"/>
          <w:position w:val="-28"/>
        </w:rPr>
        <w:drawing>
          <wp:inline distT="0" distB="0" distL="114300" distR="114300">
            <wp:extent cx="971550" cy="438150"/>
            <wp:effectExtent l="0" t="0" r="0" b="0"/>
            <wp:docPr id="8"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6"/>
                    <pic:cNvPicPr>
                      <a:picLocks noChangeAspect="1"/>
                    </pic:cNvPicPr>
                  </pic:nvPicPr>
                  <pic:blipFill>
                    <a:blip r:embed="rId39"/>
                    <a:stretch>
                      <a:fillRect/>
                    </a:stretch>
                  </pic:blipFill>
                  <pic:spPr>
                    <a:xfrm>
                      <a:off x="0" y="0"/>
                      <a:ext cx="971550" cy="438150"/>
                    </a:xfrm>
                    <a:prstGeom prst="rect">
                      <a:avLst/>
                    </a:prstGeom>
                    <a:noFill/>
                    <a:ln w="9525">
                      <a:noFill/>
                    </a:ln>
                  </pic:spPr>
                </pic:pic>
              </a:graphicData>
            </a:graphic>
          </wp:inline>
        </w:drawing>
      </w:r>
      <w:r>
        <w:rPr>
          <w:rFonts w:ascii="Times New Roman" w:hAnsi="Times New Roman" w:cs="Times New Roman"/>
          <w:color w:val="000000"/>
        </w:rPr>
        <w:t>（j＝x，y，z）</w:t>
      </w:r>
    </w:p>
    <w:p>
      <w:pPr>
        <w:spacing w:line="440" w:lineRule="exact"/>
        <w:ind w:firstLine="480"/>
        <w:rPr>
          <w:rFonts w:ascii="Times New Roman" w:hAnsi="Times New Roman" w:cs="Times New Roman"/>
          <w:color w:val="000000"/>
        </w:rPr>
      </w:pPr>
      <w:r>
        <w:rPr>
          <w:rFonts w:ascii="Times New Roman" w:hAnsi="Times New Roman" w:cs="Times New Roman"/>
          <w:color w:val="000000"/>
        </w:rPr>
        <w:t>式中：</w:t>
      </w:r>
    </w:p>
    <w:p>
      <w:pPr>
        <w:spacing w:line="440" w:lineRule="exact"/>
        <w:ind w:firstLine="480"/>
        <w:jc w:val="center"/>
        <w:rPr>
          <w:rFonts w:ascii="Times New Roman" w:hAnsi="Times New Roman" w:cs="Times New Roman"/>
          <w:color w:val="000000"/>
        </w:rPr>
      </w:pPr>
      <w:r>
        <w:rPr>
          <w:rFonts w:ascii="Times New Roman" w:hAnsi="Times New Roman" w:cs="Times New Roman"/>
          <w:color w:val="000000"/>
          <w:position w:val="-14"/>
        </w:rPr>
        <w:drawing>
          <wp:inline distT="0" distB="0" distL="114300" distR="114300">
            <wp:extent cx="1628775" cy="257175"/>
            <wp:effectExtent l="0" t="0" r="9525" b="8890"/>
            <wp:docPr id="9"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7"/>
                    <pic:cNvPicPr>
                      <a:picLocks noChangeAspect="1"/>
                    </pic:cNvPicPr>
                  </pic:nvPicPr>
                  <pic:blipFill>
                    <a:blip r:embed="rId40"/>
                    <a:stretch>
                      <a:fillRect/>
                    </a:stretch>
                  </pic:blipFill>
                  <pic:spPr>
                    <a:xfrm>
                      <a:off x="0" y="0"/>
                      <a:ext cx="1628775" cy="257175"/>
                    </a:xfrm>
                    <a:prstGeom prst="rect">
                      <a:avLst/>
                    </a:prstGeom>
                    <a:noFill/>
                    <a:ln w="9525">
                      <a:noFill/>
                    </a:ln>
                  </pic:spPr>
                </pic:pic>
              </a:graphicData>
            </a:graphic>
          </wp:inline>
        </w:drawing>
      </w:r>
      <w:r>
        <w:rPr>
          <w:rFonts w:ascii="Times New Roman" w:hAnsi="Times New Roman" w:cs="Times New Roman"/>
          <w:color w:val="000000"/>
        </w:rPr>
        <w:t xml:space="preserve">          （*）</w:t>
      </w:r>
    </w:p>
    <w:p>
      <w:pPr>
        <w:spacing w:line="440" w:lineRule="exact"/>
        <w:ind w:firstLine="480"/>
        <w:rPr>
          <w:rFonts w:ascii="Times New Roman" w:hAnsi="Times New Roman" w:cs="Times New Roman"/>
          <w:color w:val="000000"/>
        </w:rPr>
      </w:pPr>
      <w:r>
        <w:rPr>
          <w:rFonts w:ascii="Times New Roman" w:hAnsi="Times New Roman" w:cs="Times New Roman"/>
          <w:color w:val="000000"/>
          <w:position w:val="-12"/>
        </w:rPr>
        <w:drawing>
          <wp:inline distT="0" distB="0" distL="114300" distR="114300">
            <wp:extent cx="247015" cy="247015"/>
            <wp:effectExtent l="0" t="0" r="635" b="635"/>
            <wp:docPr id="1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8"/>
                    <pic:cNvPicPr>
                      <a:picLocks noChangeAspect="1"/>
                    </pic:cNvPicPr>
                  </pic:nvPicPr>
                  <pic:blipFill>
                    <a:blip r:embed="rId41"/>
                    <a:stretch>
                      <a:fillRect/>
                    </a:stretch>
                  </pic:blipFill>
                  <pic:spPr>
                    <a:xfrm>
                      <a:off x="0" y="0"/>
                      <a:ext cx="247015" cy="247015"/>
                    </a:xfrm>
                    <a:prstGeom prst="rect">
                      <a:avLst/>
                    </a:prstGeom>
                    <a:noFill/>
                    <a:ln w="9525">
                      <a:noFill/>
                    </a:ln>
                  </pic:spPr>
                </pic:pic>
              </a:graphicData>
            </a:graphic>
          </wp:inline>
        </w:drawing>
      </w:r>
      <w:r>
        <w:rPr>
          <w:rFonts w:ascii="Times New Roman" w:hAnsi="Times New Roman" w:cs="Times New Roman"/>
          <w:color w:val="000000"/>
        </w:rPr>
        <w:t>和</w:t>
      </w:r>
      <w:r>
        <w:rPr>
          <w:rFonts w:ascii="Times New Roman" w:hAnsi="Times New Roman" w:cs="Times New Roman"/>
          <w:color w:val="000000"/>
          <w:position w:val="-12"/>
        </w:rPr>
        <w:drawing>
          <wp:inline distT="0" distB="0" distL="114300" distR="114300">
            <wp:extent cx="247015" cy="247015"/>
            <wp:effectExtent l="0" t="0" r="635" b="635"/>
            <wp:docPr id="1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9"/>
                    <pic:cNvPicPr>
                      <a:picLocks noChangeAspect="1"/>
                    </pic:cNvPicPr>
                  </pic:nvPicPr>
                  <pic:blipFill>
                    <a:blip r:embed="rId42"/>
                    <a:stretch>
                      <a:fillRect/>
                    </a:stretch>
                  </pic:blipFill>
                  <pic:spPr>
                    <a:xfrm>
                      <a:off x="0" y="0"/>
                      <a:ext cx="247015" cy="247015"/>
                    </a:xfrm>
                    <a:prstGeom prst="rect">
                      <a:avLst/>
                    </a:prstGeom>
                    <a:noFill/>
                    <a:ln w="9525">
                      <a:noFill/>
                    </a:ln>
                  </pic:spPr>
                </pic:pic>
              </a:graphicData>
            </a:graphic>
          </wp:inline>
        </w:drawing>
      </w:r>
      <w:r>
        <w:rPr>
          <w:rFonts w:ascii="Times New Roman" w:hAnsi="Times New Roman" w:cs="Times New Roman"/>
          <w:color w:val="000000"/>
        </w:rPr>
        <w:t>——第</w:t>
      </w:r>
      <w:r>
        <w:rPr>
          <w:rFonts w:ascii="Times New Roman" w:hAnsi="Times New Roman" w:cs="Times New Roman"/>
          <w:color w:val="000000"/>
          <w:position w:val="-6"/>
        </w:rPr>
        <w:drawing>
          <wp:inline distT="0" distB="0" distL="114300" distR="114300">
            <wp:extent cx="161925" cy="142875"/>
            <wp:effectExtent l="0" t="0" r="9525" b="8255"/>
            <wp:docPr id="12"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0"/>
                    <pic:cNvPicPr>
                      <a:picLocks noChangeAspect="1"/>
                    </pic:cNvPicPr>
                  </pic:nvPicPr>
                  <pic:blipFill>
                    <a:blip r:embed="rId43"/>
                    <a:stretch>
                      <a:fillRect/>
                    </a:stretch>
                  </pic:blipFill>
                  <pic:spPr>
                    <a:xfrm>
                      <a:off x="0" y="0"/>
                      <a:ext cx="161925" cy="142875"/>
                    </a:xfrm>
                    <a:prstGeom prst="rect">
                      <a:avLst/>
                    </a:prstGeom>
                    <a:noFill/>
                    <a:ln w="9525">
                      <a:noFill/>
                    </a:ln>
                  </pic:spPr>
                </pic:pic>
              </a:graphicData>
            </a:graphic>
          </wp:inline>
        </w:drawing>
      </w:r>
      <w:r>
        <w:rPr>
          <w:rFonts w:ascii="Times New Roman" w:hAnsi="Times New Roman" w:cs="Times New Roman"/>
          <w:color w:val="000000"/>
        </w:rPr>
        <w:t>时段结束时第</w:t>
      </w:r>
      <w:r>
        <w:rPr>
          <w:rFonts w:ascii="Times New Roman" w:hAnsi="Times New Roman" w:cs="Times New Roman"/>
          <w:color w:val="000000"/>
          <w:position w:val="-6"/>
        </w:rPr>
        <w:drawing>
          <wp:inline distT="0" distB="0" distL="114300" distR="114300">
            <wp:extent cx="85725" cy="161925"/>
            <wp:effectExtent l="0" t="0" r="9525" b="7620"/>
            <wp:docPr id="13"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1"/>
                    <pic:cNvPicPr>
                      <a:picLocks noChangeAspect="1"/>
                    </pic:cNvPicPr>
                  </pic:nvPicPr>
                  <pic:blipFill>
                    <a:blip r:embed="rId44"/>
                    <a:stretch>
                      <a:fillRect/>
                    </a:stretch>
                  </pic:blipFill>
                  <pic:spPr>
                    <a:xfrm>
                      <a:off x="0" y="0"/>
                      <a:ext cx="85725" cy="161925"/>
                    </a:xfrm>
                    <a:prstGeom prst="rect">
                      <a:avLst/>
                    </a:prstGeom>
                    <a:noFill/>
                    <a:ln w="9525">
                      <a:noFill/>
                    </a:ln>
                  </pic:spPr>
                </pic:pic>
              </a:graphicData>
            </a:graphic>
          </wp:inline>
        </w:drawing>
      </w:r>
      <w:r>
        <w:rPr>
          <w:rFonts w:ascii="Times New Roman" w:hAnsi="Times New Roman" w:cs="Times New Roman"/>
          <w:color w:val="000000"/>
        </w:rPr>
        <w:t>烟团质心的x和y坐标，由下述两式计算：</w:t>
      </w:r>
    </w:p>
    <w:p>
      <w:pPr>
        <w:spacing w:line="440" w:lineRule="exact"/>
        <w:ind w:firstLine="480"/>
        <w:jc w:val="center"/>
        <w:rPr>
          <w:rFonts w:ascii="Times New Roman" w:hAnsi="Times New Roman" w:cs="Times New Roman"/>
          <w:color w:val="000000"/>
        </w:rPr>
      </w:pPr>
      <w:r>
        <w:rPr>
          <w:rFonts w:ascii="Times New Roman" w:hAnsi="Times New Roman" w:cs="Times New Roman"/>
          <w:color w:val="000000"/>
          <w:position w:val="-28"/>
        </w:rPr>
        <w:drawing>
          <wp:inline distT="0" distB="0" distL="114300" distR="114300">
            <wp:extent cx="2228850" cy="381000"/>
            <wp:effectExtent l="0" t="0" r="0" b="0"/>
            <wp:docPr id="14"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2"/>
                    <pic:cNvPicPr>
                      <a:picLocks noChangeAspect="1"/>
                    </pic:cNvPicPr>
                  </pic:nvPicPr>
                  <pic:blipFill>
                    <a:blip r:embed="rId45"/>
                    <a:stretch>
                      <a:fillRect/>
                    </a:stretch>
                  </pic:blipFill>
                  <pic:spPr>
                    <a:xfrm>
                      <a:off x="0" y="0"/>
                      <a:ext cx="2228850" cy="381000"/>
                    </a:xfrm>
                    <a:prstGeom prst="rect">
                      <a:avLst/>
                    </a:prstGeom>
                    <a:noFill/>
                    <a:ln w="9525">
                      <a:noFill/>
                    </a:ln>
                  </pic:spPr>
                </pic:pic>
              </a:graphicData>
            </a:graphic>
          </wp:inline>
        </w:drawing>
      </w:r>
    </w:p>
    <w:p>
      <w:pPr>
        <w:spacing w:line="440" w:lineRule="exact"/>
        <w:ind w:firstLine="480"/>
        <w:jc w:val="center"/>
        <w:rPr>
          <w:rFonts w:ascii="Times New Roman" w:hAnsi="Times New Roman" w:cs="Times New Roman"/>
          <w:color w:val="000000"/>
        </w:rPr>
      </w:pPr>
      <w:r>
        <w:rPr>
          <w:rFonts w:ascii="Times New Roman" w:hAnsi="Times New Roman" w:cs="Times New Roman"/>
          <w:color w:val="000000"/>
          <w:position w:val="-28"/>
        </w:rPr>
        <w:drawing>
          <wp:inline distT="0" distB="0" distL="114300" distR="114300">
            <wp:extent cx="2266950" cy="438150"/>
            <wp:effectExtent l="0" t="0" r="0" b="0"/>
            <wp:docPr id="15"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3"/>
                    <pic:cNvPicPr>
                      <a:picLocks noChangeAspect="1"/>
                    </pic:cNvPicPr>
                  </pic:nvPicPr>
                  <pic:blipFill>
                    <a:blip r:embed="rId46"/>
                    <a:stretch>
                      <a:fillRect/>
                    </a:stretch>
                  </pic:blipFill>
                  <pic:spPr>
                    <a:xfrm>
                      <a:off x="0" y="0"/>
                      <a:ext cx="2266950" cy="438150"/>
                    </a:xfrm>
                    <a:prstGeom prst="rect">
                      <a:avLst/>
                    </a:prstGeom>
                    <a:noFill/>
                    <a:ln w="9525">
                      <a:noFill/>
                    </a:ln>
                  </pic:spPr>
                </pic:pic>
              </a:graphicData>
            </a:graphic>
          </wp:inline>
        </w:drawing>
      </w:r>
    </w:p>
    <w:p>
      <w:pPr>
        <w:spacing w:line="440" w:lineRule="exact"/>
        <w:ind w:firstLine="480"/>
        <w:rPr>
          <w:rFonts w:ascii="Times New Roman" w:hAnsi="Times New Roman" w:cs="Times New Roman"/>
          <w:color w:val="000000"/>
        </w:rPr>
      </w:pPr>
      <w:r>
        <w:rPr>
          <w:rFonts w:ascii="Times New Roman" w:hAnsi="Times New Roman" w:cs="Times New Roman"/>
          <w:color w:val="000000"/>
        </w:rPr>
        <w:t>各个烟团对关心点t小时的浓度贡献，按下式计算：</w:t>
      </w:r>
    </w:p>
    <w:p>
      <w:pPr>
        <w:spacing w:line="440" w:lineRule="exact"/>
        <w:ind w:firstLine="480"/>
        <w:jc w:val="center"/>
        <w:rPr>
          <w:rFonts w:ascii="Times New Roman" w:hAnsi="Times New Roman" w:cs="Times New Roman"/>
          <w:color w:val="000000"/>
        </w:rPr>
      </w:pPr>
      <w:r>
        <w:rPr>
          <w:rFonts w:ascii="Times New Roman" w:hAnsi="Times New Roman" w:cs="Times New Roman"/>
          <w:color w:val="000000"/>
          <w:position w:val="-28"/>
        </w:rPr>
        <w:drawing>
          <wp:inline distT="0" distB="0" distL="114300" distR="114300">
            <wp:extent cx="1657350" cy="438150"/>
            <wp:effectExtent l="0" t="0" r="0" b="0"/>
            <wp:docPr id="16"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4"/>
                    <pic:cNvPicPr>
                      <a:picLocks noChangeAspect="1"/>
                    </pic:cNvPicPr>
                  </pic:nvPicPr>
                  <pic:blipFill>
                    <a:blip r:embed="rId47"/>
                    <a:stretch>
                      <a:fillRect/>
                    </a:stretch>
                  </pic:blipFill>
                  <pic:spPr>
                    <a:xfrm>
                      <a:off x="0" y="0"/>
                      <a:ext cx="1657350" cy="438150"/>
                    </a:xfrm>
                    <a:prstGeom prst="rect">
                      <a:avLst/>
                    </a:prstGeom>
                    <a:noFill/>
                    <a:ln w="9525">
                      <a:noFill/>
                    </a:ln>
                  </pic:spPr>
                </pic:pic>
              </a:graphicData>
            </a:graphic>
          </wp:inline>
        </w:drawing>
      </w:r>
    </w:p>
    <w:p>
      <w:pPr>
        <w:spacing w:line="440" w:lineRule="exact"/>
        <w:ind w:firstLine="480"/>
        <w:rPr>
          <w:rFonts w:ascii="Times New Roman" w:hAnsi="Times New Roman" w:cs="Times New Roman"/>
          <w:color w:val="000000"/>
        </w:rPr>
      </w:pPr>
      <w:r>
        <w:rPr>
          <w:rFonts w:ascii="Times New Roman" w:hAnsi="Times New Roman" w:cs="Times New Roman"/>
          <w:color w:val="000000"/>
        </w:rPr>
        <w:t>式中：n为需要跟踪的烟团数，可由下式确定：</w:t>
      </w:r>
    </w:p>
    <w:p>
      <w:pPr>
        <w:spacing w:line="440" w:lineRule="exact"/>
        <w:ind w:firstLine="480"/>
        <w:jc w:val="center"/>
        <w:rPr>
          <w:rFonts w:ascii="Times New Roman" w:hAnsi="Times New Roman" w:cs="Times New Roman"/>
          <w:color w:val="000000"/>
        </w:rPr>
      </w:pPr>
      <w:r>
        <w:rPr>
          <w:rFonts w:ascii="Times New Roman" w:hAnsi="Times New Roman" w:cs="Times New Roman"/>
          <w:color w:val="000000"/>
          <w:position w:val="-28"/>
        </w:rPr>
        <w:drawing>
          <wp:inline distT="0" distB="0" distL="114300" distR="114300">
            <wp:extent cx="1895475" cy="438150"/>
            <wp:effectExtent l="0" t="0" r="9525" b="0"/>
            <wp:docPr id="17"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5"/>
                    <pic:cNvPicPr>
                      <a:picLocks noChangeAspect="1"/>
                    </pic:cNvPicPr>
                  </pic:nvPicPr>
                  <pic:blipFill>
                    <a:blip r:embed="rId48"/>
                    <a:stretch>
                      <a:fillRect/>
                    </a:stretch>
                  </pic:blipFill>
                  <pic:spPr>
                    <a:xfrm>
                      <a:off x="0" y="0"/>
                      <a:ext cx="1895475" cy="438150"/>
                    </a:xfrm>
                    <a:prstGeom prst="rect">
                      <a:avLst/>
                    </a:prstGeom>
                    <a:noFill/>
                    <a:ln w="9525">
                      <a:noFill/>
                    </a:ln>
                  </pic:spPr>
                </pic:pic>
              </a:graphicData>
            </a:graphic>
          </wp:inline>
        </w:drawing>
      </w:r>
    </w:p>
    <w:p>
      <w:pPr>
        <w:spacing w:line="440" w:lineRule="exact"/>
        <w:ind w:firstLine="480"/>
        <w:rPr>
          <w:rFonts w:ascii="Times New Roman" w:hAnsi="Times New Roman" w:cs="Times New Roman"/>
          <w:color w:val="000000"/>
        </w:rPr>
      </w:pPr>
      <w:r>
        <w:rPr>
          <w:rFonts w:ascii="Times New Roman" w:hAnsi="Times New Roman" w:cs="Times New Roman"/>
          <w:color w:val="000000"/>
        </w:rPr>
        <w:t>式中：f为小于1的系数，可根据计算要求确定。</w:t>
      </w:r>
    </w:p>
    <w:p>
      <w:pPr>
        <w:numPr>
          <w:ilvl w:val="2"/>
          <w:numId w:val="1"/>
        </w:numPr>
        <w:autoSpaceDE w:val="0"/>
        <w:autoSpaceDN w:val="0"/>
        <w:adjustRightInd w:val="0"/>
        <w:snapToGrid w:val="0"/>
        <w:spacing w:line="600" w:lineRule="exact"/>
        <w:ind w:left="0" w:firstLine="0" w:firstLineChars="0"/>
        <w:jc w:val="left"/>
        <w:textAlignment w:val="baseline"/>
        <w:outlineLvl w:val="2"/>
        <w:rPr>
          <w:rFonts w:ascii="Times New Roman" w:hAnsi="Times New Roman" w:eastAsia="黑体" w:cs="Times New Roman"/>
          <w:b/>
          <w:snapToGrid w:val="0"/>
          <w:kern w:val="0"/>
          <w:sz w:val="28"/>
          <w:szCs w:val="28"/>
        </w:rPr>
      </w:pPr>
      <w:r>
        <w:rPr>
          <w:rFonts w:ascii="Times New Roman" w:hAnsi="Times New Roman" w:eastAsia="黑体" w:cs="Times New Roman"/>
          <w:b/>
          <w:snapToGrid w:val="0"/>
          <w:kern w:val="0"/>
          <w:sz w:val="28"/>
          <w:szCs w:val="28"/>
        </w:rPr>
        <w:t>预测结果</w:t>
      </w:r>
    </w:p>
    <w:p>
      <w:pPr>
        <w:numPr>
          <w:ilvl w:val="0"/>
          <w:numId w:val="2"/>
        </w:numPr>
        <w:spacing w:line="440" w:lineRule="exact"/>
        <w:ind w:firstLineChars="0"/>
        <w:rPr>
          <w:rFonts w:ascii="Times New Roman" w:hAnsi="Times New Roman" w:cs="Times New Roman"/>
          <w:color w:val="000000"/>
        </w:rPr>
      </w:pPr>
      <w:r>
        <w:rPr>
          <w:rFonts w:ascii="Times New Roman" w:hAnsi="Times New Roman" w:cs="Times New Roman"/>
          <w:color w:val="000000"/>
        </w:rPr>
        <w:t xml:space="preserve">年平均风速（3.4m/s）条件下 </w:t>
      </w:r>
    </w:p>
    <w:p>
      <w:pPr>
        <w:spacing w:line="440" w:lineRule="exact"/>
        <w:ind w:firstLine="480"/>
        <w:rPr>
          <w:rFonts w:ascii="Times New Roman" w:hAnsi="Times New Roman" w:cs="Times New Roman"/>
          <w:w w:val="103"/>
        </w:rPr>
      </w:pPr>
      <w:r>
        <w:rPr>
          <w:rFonts w:ascii="Times New Roman" w:hAnsi="Times New Roman" w:cs="Times New Roman"/>
          <w:color w:val="000000"/>
        </w:rPr>
        <w:t>主要选取常年平均风速（3.4m/s）下预测氟化氢下风向地面浓度，并分析在</w:t>
      </w:r>
      <w:r>
        <w:rPr>
          <w:rFonts w:ascii="Times New Roman" w:hAnsi="Times New Roman" w:cs="Times New Roman"/>
          <w:w w:val="105"/>
        </w:rPr>
        <w:t>各自A-F</w:t>
      </w:r>
      <w:r>
        <w:rPr>
          <w:rFonts w:ascii="Times New Roman" w:hAnsi="Times New Roman" w:cs="Times New Roman"/>
          <w:spacing w:val="-26"/>
          <w:w w:val="105"/>
        </w:rPr>
        <w:t xml:space="preserve"> </w:t>
      </w:r>
      <w:r>
        <w:rPr>
          <w:rFonts w:ascii="Times New Roman" w:hAnsi="Times New Roman" w:cs="Times New Roman"/>
          <w:spacing w:val="2"/>
          <w:w w:val="105"/>
        </w:rPr>
        <w:t>稳定度条件下对厂区及周边地区的影响，见表</w:t>
      </w:r>
      <w:r>
        <w:rPr>
          <w:rFonts w:ascii="Times New Roman" w:hAnsi="Times New Roman" w:cs="Times New Roman"/>
          <w:w w:val="105"/>
        </w:rPr>
        <w:t>3.1-1、表3.1-2。</w:t>
      </w:r>
      <w:r>
        <w:rPr>
          <w:rFonts w:ascii="Times New Roman" w:hAnsi="Times New Roman" w:cs="Times New Roman"/>
          <w:w w:val="103"/>
        </w:rPr>
        <w:t xml:space="preserve"> </w:t>
      </w:r>
    </w:p>
    <w:p>
      <w:pPr>
        <w:snapToGrid w:val="0"/>
        <w:spacing w:line="560" w:lineRule="exact"/>
        <w:ind w:firstLine="480" w:firstLineChars="0"/>
        <w:jc w:val="center"/>
        <w:rPr>
          <w:rFonts w:ascii="Times New Roman" w:hAnsi="Times New Roman" w:eastAsia="黑体" w:cs="Times New Roman"/>
          <w:snapToGrid w:val="0"/>
          <w:kern w:val="0"/>
          <w:szCs w:val="24"/>
        </w:rPr>
      </w:pPr>
      <w:r>
        <w:rPr>
          <w:rFonts w:ascii="Times New Roman" w:hAnsi="Times New Roman" w:eastAsia="黑体" w:cs="Times New Roman"/>
          <w:snapToGrid w:val="0"/>
          <w:kern w:val="0"/>
          <w:szCs w:val="24"/>
        </w:rPr>
        <w:tab/>
      </w:r>
      <w:r>
        <w:rPr>
          <w:rFonts w:ascii="Times New Roman" w:hAnsi="Times New Roman" w:eastAsia="黑体" w:cs="Times New Roman"/>
          <w:snapToGrid w:val="0"/>
          <w:kern w:val="0"/>
          <w:szCs w:val="24"/>
        </w:rPr>
        <w:t>不同稳定度情况下氟化氢最大落地浓度及落地距离</w:t>
      </w:r>
    </w:p>
    <w:p>
      <w:pPr>
        <w:snapToGrid w:val="0"/>
        <w:spacing w:line="0" w:lineRule="atLeast"/>
        <w:ind w:firstLine="0" w:firstLineChars="0"/>
        <w:jc w:val="left"/>
        <w:rPr>
          <w:rFonts w:ascii="Times New Roman" w:hAnsi="Times New Roman" w:cs="Times New Roman"/>
          <w:snapToGrid w:val="0"/>
          <w:kern w:val="0"/>
          <w:sz w:val="21"/>
          <w:szCs w:val="24"/>
        </w:rPr>
      </w:pPr>
      <w:r>
        <w:rPr>
          <w:rFonts w:ascii="Times New Roman" w:hAnsi="Times New Roman" w:cs="Times New Roman"/>
          <w:snapToGrid w:val="0"/>
          <w:kern w:val="0"/>
          <w:sz w:val="21"/>
          <w:szCs w:val="24"/>
        </w:rPr>
        <w:t xml:space="preserve">表3.1-1 </w:t>
      </w:r>
    </w:p>
    <w:tbl>
      <w:tblPr>
        <w:tblStyle w:val="11"/>
        <w:tblW w:w="8525" w:type="dxa"/>
        <w:tblInd w:w="0" w:type="dxa"/>
        <w:tblLayout w:type="fixed"/>
        <w:tblCellMar>
          <w:top w:w="0" w:type="dxa"/>
          <w:left w:w="0" w:type="dxa"/>
          <w:bottom w:w="0" w:type="dxa"/>
          <w:right w:w="0" w:type="dxa"/>
        </w:tblCellMar>
      </w:tblPr>
      <w:tblGrid>
        <w:gridCol w:w="1426"/>
        <w:gridCol w:w="1360"/>
        <w:gridCol w:w="1318"/>
        <w:gridCol w:w="2110"/>
        <w:gridCol w:w="1159"/>
        <w:gridCol w:w="1152"/>
      </w:tblGrid>
      <w:tr>
        <w:tblPrEx>
          <w:tblLayout w:type="fixed"/>
          <w:tblCellMar>
            <w:top w:w="0" w:type="dxa"/>
            <w:left w:w="0" w:type="dxa"/>
            <w:bottom w:w="0" w:type="dxa"/>
            <w:right w:w="0" w:type="dxa"/>
          </w:tblCellMar>
        </w:tblPrEx>
        <w:trPr>
          <w:trHeight w:val="569" w:hRule="exact"/>
        </w:trPr>
        <w:tc>
          <w:tcPr>
            <w:tcW w:w="1426" w:type="dxa"/>
            <w:tcBorders>
              <w:top w:val="single" w:color="000000" w:sz="10" w:space="0"/>
              <w:left w:val="nil"/>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污染源</w:t>
            </w:r>
          </w:p>
        </w:tc>
        <w:tc>
          <w:tcPr>
            <w:tcW w:w="1360" w:type="dxa"/>
            <w:tcBorders>
              <w:top w:val="single" w:color="000000" w:sz="10"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污染 因子</w:t>
            </w:r>
          </w:p>
        </w:tc>
        <w:tc>
          <w:tcPr>
            <w:tcW w:w="1318" w:type="dxa"/>
            <w:tcBorders>
              <w:top w:val="single" w:color="000000" w:sz="10"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风速</w:t>
            </w:r>
          </w:p>
        </w:tc>
        <w:tc>
          <w:tcPr>
            <w:tcW w:w="2110" w:type="dxa"/>
            <w:tcBorders>
              <w:top w:val="single" w:color="000000" w:sz="10"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稳定度</w:t>
            </w:r>
          </w:p>
        </w:tc>
        <w:tc>
          <w:tcPr>
            <w:tcW w:w="1159" w:type="dxa"/>
            <w:tcBorders>
              <w:top w:val="single" w:color="000000" w:sz="10"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D</w:t>
            </w:r>
          </w:p>
        </w:tc>
        <w:tc>
          <w:tcPr>
            <w:tcW w:w="1152" w:type="dxa"/>
            <w:tcBorders>
              <w:top w:val="single" w:color="000000" w:sz="10" w:space="0"/>
              <w:left w:val="single" w:color="000000" w:sz="4" w:space="0"/>
              <w:bottom w:val="single" w:color="000000" w:sz="4" w:space="0"/>
              <w:right w:val="nil"/>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E</w:t>
            </w:r>
          </w:p>
        </w:tc>
      </w:tr>
      <w:tr>
        <w:tblPrEx>
          <w:tblLayout w:type="fixed"/>
          <w:tblCellMar>
            <w:top w:w="0" w:type="dxa"/>
            <w:left w:w="0" w:type="dxa"/>
            <w:bottom w:w="0" w:type="dxa"/>
            <w:right w:w="0" w:type="dxa"/>
          </w:tblCellMar>
        </w:tblPrEx>
        <w:trPr>
          <w:trHeight w:val="259" w:hRule="exact"/>
        </w:trPr>
        <w:tc>
          <w:tcPr>
            <w:tcW w:w="1426" w:type="dxa"/>
            <w:vMerge w:val="restart"/>
            <w:tcBorders>
              <w:top w:val="single" w:color="000000" w:sz="4" w:space="0"/>
              <w:left w:val="nil"/>
              <w:bottom w:val="single" w:color="000000" w:sz="10"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电解液</w:t>
            </w:r>
          </w:p>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储存区</w:t>
            </w:r>
          </w:p>
        </w:tc>
        <w:tc>
          <w:tcPr>
            <w:tcW w:w="1360" w:type="dxa"/>
            <w:vMerge w:val="restart"/>
            <w:tcBorders>
              <w:top w:val="single" w:color="000000" w:sz="4" w:space="0"/>
              <w:left w:val="single" w:color="000000" w:sz="4" w:space="0"/>
              <w:bottom w:val="single" w:color="000000" w:sz="10"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氟化氢</w:t>
            </w:r>
          </w:p>
        </w:tc>
        <w:tc>
          <w:tcPr>
            <w:tcW w:w="1318" w:type="dxa"/>
            <w:vMerge w:val="restart"/>
            <w:tcBorders>
              <w:top w:val="single" w:color="000000" w:sz="4" w:space="0"/>
              <w:left w:val="single" w:color="000000" w:sz="4" w:space="0"/>
              <w:bottom w:val="single" w:color="000000" w:sz="10"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3.4m/s</w:t>
            </w:r>
          </w:p>
        </w:tc>
        <w:tc>
          <w:tcPr>
            <w:tcW w:w="2110"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Cm(mg/m</w:t>
            </w:r>
            <w:r>
              <w:rPr>
                <w:rFonts w:ascii="Times New Roman" w:hAnsi="Times New Roman" w:cs="Times New Roman"/>
                <w:bCs/>
                <w:kern w:val="0"/>
                <w:sz w:val="21"/>
                <w:vertAlign w:val="superscript"/>
              </w:rPr>
              <w:t>3</w:t>
            </w:r>
            <w:r>
              <w:rPr>
                <w:rFonts w:ascii="Times New Roman" w:hAnsi="Times New Roman" w:cs="Times New Roman"/>
                <w:bCs/>
                <w:kern w:val="0"/>
                <w:sz w:val="21"/>
              </w:rPr>
              <w:t>)</w:t>
            </w:r>
          </w:p>
        </w:tc>
        <w:tc>
          <w:tcPr>
            <w:tcW w:w="1159"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3.37</w:t>
            </w:r>
          </w:p>
        </w:tc>
        <w:tc>
          <w:tcPr>
            <w:tcW w:w="1152" w:type="dxa"/>
            <w:tcBorders>
              <w:top w:val="single" w:color="000000" w:sz="4" w:space="0"/>
              <w:left w:val="single" w:color="000000" w:sz="4" w:space="0"/>
              <w:bottom w:val="single" w:color="000000" w:sz="4" w:space="0"/>
              <w:right w:val="nil"/>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5.93</w:t>
            </w:r>
          </w:p>
        </w:tc>
      </w:tr>
      <w:tr>
        <w:tblPrEx>
          <w:tblLayout w:type="fixed"/>
          <w:tblCellMar>
            <w:top w:w="0" w:type="dxa"/>
            <w:left w:w="0" w:type="dxa"/>
            <w:bottom w:w="0" w:type="dxa"/>
            <w:right w:w="0" w:type="dxa"/>
          </w:tblCellMar>
        </w:tblPrEx>
        <w:trPr>
          <w:trHeight w:val="310" w:hRule="exact"/>
        </w:trPr>
        <w:tc>
          <w:tcPr>
            <w:tcW w:w="1426" w:type="dxa"/>
            <w:vMerge w:val="continue"/>
            <w:tcBorders>
              <w:top w:val="single" w:color="000000" w:sz="4" w:space="0"/>
              <w:left w:val="nil"/>
              <w:bottom w:val="single" w:color="000000" w:sz="10"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p>
        </w:tc>
        <w:tc>
          <w:tcPr>
            <w:tcW w:w="1360" w:type="dxa"/>
            <w:vMerge w:val="continue"/>
            <w:tcBorders>
              <w:top w:val="single" w:color="000000" w:sz="4" w:space="0"/>
              <w:left w:val="single" w:color="000000" w:sz="4" w:space="0"/>
              <w:bottom w:val="single" w:color="000000" w:sz="10"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p>
        </w:tc>
        <w:tc>
          <w:tcPr>
            <w:tcW w:w="1318" w:type="dxa"/>
            <w:vMerge w:val="continue"/>
            <w:tcBorders>
              <w:top w:val="single" w:color="000000" w:sz="4" w:space="0"/>
              <w:left w:val="single" w:color="000000" w:sz="4" w:space="0"/>
              <w:bottom w:val="single" w:color="000000" w:sz="10"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p>
        </w:tc>
        <w:tc>
          <w:tcPr>
            <w:tcW w:w="2110" w:type="dxa"/>
            <w:tcBorders>
              <w:top w:val="single" w:color="000000" w:sz="4" w:space="0"/>
              <w:left w:val="single" w:color="000000" w:sz="4" w:space="0"/>
              <w:bottom w:val="single" w:color="000000" w:sz="10"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Xm(m)</w:t>
            </w:r>
          </w:p>
        </w:tc>
        <w:tc>
          <w:tcPr>
            <w:tcW w:w="1159" w:type="dxa"/>
            <w:tcBorders>
              <w:top w:val="single" w:color="000000" w:sz="4" w:space="0"/>
              <w:left w:val="single" w:color="000000" w:sz="4" w:space="0"/>
              <w:bottom w:val="single" w:color="000000" w:sz="10"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34.5</w:t>
            </w:r>
          </w:p>
        </w:tc>
        <w:tc>
          <w:tcPr>
            <w:tcW w:w="1152" w:type="dxa"/>
            <w:tcBorders>
              <w:top w:val="single" w:color="000000" w:sz="4" w:space="0"/>
              <w:left w:val="single" w:color="000000" w:sz="4" w:space="0"/>
              <w:bottom w:val="single" w:color="000000" w:sz="10" w:space="0"/>
              <w:right w:val="nil"/>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35.5</w:t>
            </w:r>
          </w:p>
        </w:tc>
      </w:tr>
    </w:tbl>
    <w:p>
      <w:pPr>
        <w:pStyle w:val="5"/>
        <w:kinsoku w:val="0"/>
        <w:overflowPunct w:val="0"/>
        <w:ind w:firstLine="321"/>
        <w:rPr>
          <w:rFonts w:ascii="Times New Roman" w:hAnsi="Times New Roman" w:cs="Times New Roman"/>
          <w:b/>
          <w:bCs/>
          <w:sz w:val="16"/>
          <w:szCs w:val="16"/>
        </w:rPr>
      </w:pPr>
    </w:p>
    <w:p>
      <w:pPr>
        <w:snapToGrid w:val="0"/>
        <w:spacing w:line="560" w:lineRule="exact"/>
        <w:ind w:firstLine="480" w:firstLineChars="0"/>
        <w:jc w:val="center"/>
        <w:rPr>
          <w:rFonts w:ascii="Times New Roman" w:hAnsi="Times New Roman" w:eastAsia="黑体" w:cs="Times New Roman"/>
          <w:snapToGrid w:val="0"/>
          <w:kern w:val="0"/>
          <w:szCs w:val="24"/>
        </w:rPr>
      </w:pPr>
      <w:r>
        <w:rPr>
          <w:rFonts w:ascii="Times New Roman" w:hAnsi="Times New Roman" w:eastAsia="黑体" w:cs="Times New Roman"/>
          <w:snapToGrid w:val="0"/>
          <w:kern w:val="0"/>
          <w:szCs w:val="24"/>
        </w:rPr>
        <w:tab/>
      </w:r>
      <w:r>
        <w:rPr>
          <w:rFonts w:ascii="Times New Roman" w:hAnsi="Times New Roman" w:eastAsia="黑体" w:cs="Times New Roman"/>
          <w:snapToGrid w:val="0"/>
          <w:kern w:val="0"/>
          <w:szCs w:val="24"/>
        </w:rPr>
        <w:t>氟化氢事故排放对关心点的影响</w:t>
      </w:r>
    </w:p>
    <w:p>
      <w:pPr>
        <w:snapToGrid w:val="0"/>
        <w:spacing w:line="0" w:lineRule="atLeast"/>
        <w:ind w:firstLine="0" w:firstLineChars="0"/>
        <w:jc w:val="left"/>
        <w:rPr>
          <w:rFonts w:ascii="Times New Roman" w:hAnsi="Times New Roman" w:cs="Times New Roman"/>
          <w:snapToGrid w:val="0"/>
          <w:kern w:val="0"/>
          <w:sz w:val="21"/>
          <w:szCs w:val="24"/>
        </w:rPr>
      </w:pPr>
      <w:r>
        <w:rPr>
          <w:rFonts w:ascii="Times New Roman" w:hAnsi="Times New Roman" w:cs="Times New Roman"/>
          <w:snapToGrid w:val="0"/>
          <w:kern w:val="0"/>
          <w:sz w:val="21"/>
          <w:szCs w:val="24"/>
        </w:rPr>
        <w:t xml:space="preserve">表3.1-2 </w:t>
      </w:r>
    </w:p>
    <w:tbl>
      <w:tblPr>
        <w:tblStyle w:val="11"/>
        <w:tblW w:w="8539" w:type="dxa"/>
        <w:tblInd w:w="103" w:type="dxa"/>
        <w:tblLayout w:type="fixed"/>
        <w:tblCellMar>
          <w:top w:w="0" w:type="dxa"/>
          <w:left w:w="0" w:type="dxa"/>
          <w:bottom w:w="0" w:type="dxa"/>
          <w:right w:w="0" w:type="dxa"/>
        </w:tblCellMar>
      </w:tblPr>
      <w:tblGrid>
        <w:gridCol w:w="3031"/>
        <w:gridCol w:w="1160"/>
        <w:gridCol w:w="1476"/>
        <w:gridCol w:w="1267"/>
        <w:gridCol w:w="1605"/>
      </w:tblGrid>
      <w:tr>
        <w:tblPrEx>
          <w:tblLayout w:type="fixed"/>
          <w:tblCellMar>
            <w:top w:w="0" w:type="dxa"/>
            <w:left w:w="0" w:type="dxa"/>
            <w:bottom w:w="0" w:type="dxa"/>
            <w:right w:w="0" w:type="dxa"/>
          </w:tblCellMar>
        </w:tblPrEx>
        <w:trPr>
          <w:trHeight w:val="302" w:hRule="exact"/>
        </w:trPr>
        <w:tc>
          <w:tcPr>
            <w:tcW w:w="3031" w:type="dxa"/>
            <w:vMerge w:val="restart"/>
            <w:tcBorders>
              <w:top w:val="single" w:color="000000" w:sz="10" w:space="0"/>
              <w:left w:val="nil"/>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关心点</w:t>
            </w:r>
          </w:p>
        </w:tc>
        <w:tc>
          <w:tcPr>
            <w:tcW w:w="1160" w:type="dxa"/>
            <w:vMerge w:val="restart"/>
            <w:tcBorders>
              <w:top w:val="single" w:color="000000" w:sz="10"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方位</w:t>
            </w:r>
          </w:p>
        </w:tc>
        <w:tc>
          <w:tcPr>
            <w:tcW w:w="1476" w:type="dxa"/>
            <w:vMerge w:val="restart"/>
            <w:tcBorders>
              <w:top w:val="single" w:color="000000" w:sz="10"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距离(m)</w:t>
            </w:r>
          </w:p>
        </w:tc>
        <w:tc>
          <w:tcPr>
            <w:tcW w:w="2872" w:type="dxa"/>
            <w:gridSpan w:val="2"/>
            <w:tcBorders>
              <w:top w:val="single" w:color="000000" w:sz="10" w:space="0"/>
              <w:left w:val="single" w:color="000000" w:sz="4" w:space="0"/>
              <w:bottom w:val="single" w:color="000000" w:sz="4" w:space="0"/>
              <w:right w:val="nil"/>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稳定度</w:t>
            </w:r>
          </w:p>
        </w:tc>
      </w:tr>
      <w:tr>
        <w:tblPrEx>
          <w:tblLayout w:type="fixed"/>
          <w:tblCellMar>
            <w:top w:w="0" w:type="dxa"/>
            <w:left w:w="0" w:type="dxa"/>
            <w:bottom w:w="0" w:type="dxa"/>
            <w:right w:w="0" w:type="dxa"/>
          </w:tblCellMar>
        </w:tblPrEx>
        <w:trPr>
          <w:trHeight w:val="288" w:hRule="exact"/>
        </w:trPr>
        <w:tc>
          <w:tcPr>
            <w:tcW w:w="3031" w:type="dxa"/>
            <w:vMerge w:val="continue"/>
            <w:tcBorders>
              <w:top w:val="single" w:color="000000" w:sz="10" w:space="0"/>
              <w:left w:val="nil"/>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p>
        </w:tc>
        <w:tc>
          <w:tcPr>
            <w:tcW w:w="1160" w:type="dxa"/>
            <w:vMerge w:val="continue"/>
            <w:tcBorders>
              <w:top w:val="single" w:color="000000" w:sz="10"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p>
        </w:tc>
        <w:tc>
          <w:tcPr>
            <w:tcW w:w="1476" w:type="dxa"/>
            <w:vMerge w:val="continue"/>
            <w:tcBorders>
              <w:top w:val="single" w:color="000000" w:sz="10"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p>
        </w:tc>
        <w:tc>
          <w:tcPr>
            <w:tcW w:w="1267"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D</w:t>
            </w:r>
          </w:p>
        </w:tc>
        <w:tc>
          <w:tcPr>
            <w:tcW w:w="1605" w:type="dxa"/>
            <w:tcBorders>
              <w:top w:val="single" w:color="000000" w:sz="4" w:space="0"/>
              <w:left w:val="single" w:color="000000" w:sz="4" w:space="0"/>
              <w:bottom w:val="single" w:color="000000" w:sz="4" w:space="0"/>
              <w:right w:val="nil"/>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E</w:t>
            </w:r>
          </w:p>
        </w:tc>
      </w:tr>
      <w:tr>
        <w:tblPrEx>
          <w:tblLayout w:type="fixed"/>
          <w:tblCellMar>
            <w:top w:w="0" w:type="dxa"/>
            <w:left w:w="0" w:type="dxa"/>
            <w:bottom w:w="0" w:type="dxa"/>
            <w:right w:w="0" w:type="dxa"/>
          </w:tblCellMar>
        </w:tblPrEx>
        <w:trPr>
          <w:trHeight w:val="288" w:hRule="exact"/>
        </w:trPr>
        <w:tc>
          <w:tcPr>
            <w:tcW w:w="3031" w:type="dxa"/>
            <w:tcBorders>
              <w:top w:val="single" w:color="000000" w:sz="4" w:space="0"/>
              <w:left w:val="nil"/>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sz w:val="21"/>
                <w:szCs w:val="21"/>
              </w:rPr>
              <w:t>七里花园</w:t>
            </w:r>
          </w:p>
        </w:tc>
        <w:tc>
          <w:tcPr>
            <w:tcW w:w="1160"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N</w:t>
            </w:r>
          </w:p>
        </w:tc>
        <w:tc>
          <w:tcPr>
            <w:tcW w:w="1476"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470</w:t>
            </w:r>
          </w:p>
        </w:tc>
        <w:tc>
          <w:tcPr>
            <w:tcW w:w="1267"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0</w:t>
            </w:r>
          </w:p>
        </w:tc>
        <w:tc>
          <w:tcPr>
            <w:tcW w:w="1605" w:type="dxa"/>
            <w:tcBorders>
              <w:top w:val="single" w:color="000000" w:sz="4" w:space="0"/>
              <w:left w:val="single" w:color="000000" w:sz="4" w:space="0"/>
              <w:bottom w:val="single" w:color="000000" w:sz="4" w:space="0"/>
              <w:right w:val="nil"/>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0</w:t>
            </w:r>
          </w:p>
        </w:tc>
      </w:tr>
      <w:tr>
        <w:tblPrEx>
          <w:tblLayout w:type="fixed"/>
          <w:tblCellMar>
            <w:top w:w="0" w:type="dxa"/>
            <w:left w:w="0" w:type="dxa"/>
            <w:bottom w:w="0" w:type="dxa"/>
            <w:right w:w="0" w:type="dxa"/>
          </w:tblCellMar>
        </w:tblPrEx>
        <w:trPr>
          <w:trHeight w:val="288" w:hRule="exact"/>
        </w:trPr>
        <w:tc>
          <w:tcPr>
            <w:tcW w:w="3031" w:type="dxa"/>
            <w:tcBorders>
              <w:top w:val="single" w:color="000000" w:sz="4" w:space="0"/>
              <w:left w:val="nil"/>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毛许街道</w:t>
            </w:r>
          </w:p>
        </w:tc>
        <w:tc>
          <w:tcPr>
            <w:tcW w:w="1160"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SE</w:t>
            </w:r>
          </w:p>
        </w:tc>
        <w:tc>
          <w:tcPr>
            <w:tcW w:w="1476"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895</w:t>
            </w:r>
          </w:p>
        </w:tc>
        <w:tc>
          <w:tcPr>
            <w:tcW w:w="1267"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0</w:t>
            </w:r>
          </w:p>
        </w:tc>
        <w:tc>
          <w:tcPr>
            <w:tcW w:w="1605" w:type="dxa"/>
            <w:tcBorders>
              <w:top w:val="single" w:color="000000" w:sz="4" w:space="0"/>
              <w:left w:val="single" w:color="000000" w:sz="4" w:space="0"/>
              <w:bottom w:val="single" w:color="000000" w:sz="4" w:space="0"/>
              <w:right w:val="nil"/>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0</w:t>
            </w:r>
          </w:p>
        </w:tc>
      </w:tr>
      <w:tr>
        <w:tblPrEx>
          <w:tblLayout w:type="fixed"/>
          <w:tblCellMar>
            <w:top w:w="0" w:type="dxa"/>
            <w:left w:w="0" w:type="dxa"/>
            <w:bottom w:w="0" w:type="dxa"/>
            <w:right w:w="0" w:type="dxa"/>
          </w:tblCellMar>
        </w:tblPrEx>
        <w:trPr>
          <w:trHeight w:val="288" w:hRule="exact"/>
        </w:trPr>
        <w:tc>
          <w:tcPr>
            <w:tcW w:w="3031" w:type="dxa"/>
            <w:tcBorders>
              <w:top w:val="single" w:color="000000" w:sz="4" w:space="0"/>
              <w:left w:val="nil"/>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新世纪花园</w:t>
            </w:r>
          </w:p>
        </w:tc>
        <w:tc>
          <w:tcPr>
            <w:tcW w:w="1160"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NE</w:t>
            </w:r>
          </w:p>
        </w:tc>
        <w:tc>
          <w:tcPr>
            <w:tcW w:w="1476"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580</w:t>
            </w:r>
          </w:p>
        </w:tc>
        <w:tc>
          <w:tcPr>
            <w:tcW w:w="1267"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0</w:t>
            </w:r>
          </w:p>
        </w:tc>
        <w:tc>
          <w:tcPr>
            <w:tcW w:w="1605" w:type="dxa"/>
            <w:tcBorders>
              <w:top w:val="single" w:color="000000" w:sz="4" w:space="0"/>
              <w:left w:val="single" w:color="000000" w:sz="4" w:space="0"/>
              <w:bottom w:val="single" w:color="000000" w:sz="4" w:space="0"/>
              <w:right w:val="nil"/>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0</w:t>
            </w:r>
          </w:p>
        </w:tc>
      </w:tr>
      <w:tr>
        <w:tblPrEx>
          <w:tblLayout w:type="fixed"/>
          <w:tblCellMar>
            <w:top w:w="0" w:type="dxa"/>
            <w:left w:w="0" w:type="dxa"/>
            <w:bottom w:w="0" w:type="dxa"/>
            <w:right w:w="0" w:type="dxa"/>
          </w:tblCellMar>
        </w:tblPrEx>
        <w:trPr>
          <w:trHeight w:val="288" w:hRule="exact"/>
        </w:trPr>
        <w:tc>
          <w:tcPr>
            <w:tcW w:w="3031"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垛石村</w:t>
            </w:r>
          </w:p>
        </w:tc>
        <w:tc>
          <w:tcPr>
            <w:tcW w:w="116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w:t>
            </w:r>
          </w:p>
        </w:tc>
        <w:tc>
          <w:tcPr>
            <w:tcW w:w="14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200</w:t>
            </w:r>
          </w:p>
        </w:tc>
        <w:tc>
          <w:tcPr>
            <w:tcW w:w="1267"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0</w:t>
            </w:r>
          </w:p>
        </w:tc>
        <w:tc>
          <w:tcPr>
            <w:tcW w:w="1605" w:type="dxa"/>
            <w:tcBorders>
              <w:top w:val="single" w:color="000000" w:sz="4" w:space="0"/>
              <w:left w:val="single" w:color="000000" w:sz="4" w:space="0"/>
              <w:bottom w:val="single" w:color="000000" w:sz="4" w:space="0"/>
              <w:right w:val="nil"/>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0</w:t>
            </w:r>
          </w:p>
        </w:tc>
      </w:tr>
      <w:tr>
        <w:tblPrEx>
          <w:tblLayout w:type="fixed"/>
          <w:tblCellMar>
            <w:top w:w="0" w:type="dxa"/>
            <w:left w:w="0" w:type="dxa"/>
            <w:bottom w:w="0" w:type="dxa"/>
            <w:right w:w="0" w:type="dxa"/>
          </w:tblCellMar>
        </w:tblPrEx>
        <w:trPr>
          <w:trHeight w:val="295" w:hRule="exact"/>
        </w:trPr>
        <w:tc>
          <w:tcPr>
            <w:tcW w:w="3031" w:type="dxa"/>
            <w:tcBorders>
              <w:top w:val="single" w:color="000000" w:sz="4" w:space="0"/>
              <w:left w:val="nil"/>
              <w:bottom w:val="single" w:color="000000" w:sz="10" w:space="0"/>
              <w:right w:val="single" w:color="000000" w:sz="4" w:space="0"/>
            </w:tcBorders>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袁陆村</w:t>
            </w:r>
          </w:p>
        </w:tc>
        <w:tc>
          <w:tcPr>
            <w:tcW w:w="1160" w:type="dxa"/>
            <w:tcBorders>
              <w:top w:val="single" w:color="000000" w:sz="4" w:space="0"/>
              <w:left w:val="single" w:color="000000" w:sz="4" w:space="0"/>
              <w:bottom w:val="single" w:color="000000" w:sz="10" w:space="0"/>
              <w:right w:val="single" w:color="000000" w:sz="4" w:space="0"/>
            </w:tcBorders>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WNW</w:t>
            </w:r>
          </w:p>
        </w:tc>
        <w:tc>
          <w:tcPr>
            <w:tcW w:w="1476" w:type="dxa"/>
            <w:tcBorders>
              <w:top w:val="single" w:color="000000" w:sz="4" w:space="0"/>
              <w:left w:val="single" w:color="000000" w:sz="4" w:space="0"/>
              <w:bottom w:val="single" w:color="000000" w:sz="10" w:space="0"/>
              <w:right w:val="single" w:color="000000" w:sz="4" w:space="0"/>
            </w:tcBorders>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750</w:t>
            </w:r>
          </w:p>
        </w:tc>
        <w:tc>
          <w:tcPr>
            <w:tcW w:w="1267" w:type="dxa"/>
            <w:tcBorders>
              <w:top w:val="single" w:color="000000" w:sz="4" w:space="0"/>
              <w:left w:val="single" w:color="000000" w:sz="4" w:space="0"/>
              <w:bottom w:val="single" w:color="000000" w:sz="10" w:space="0"/>
              <w:right w:val="single" w:color="000000" w:sz="4"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0</w:t>
            </w:r>
          </w:p>
        </w:tc>
        <w:tc>
          <w:tcPr>
            <w:tcW w:w="1605" w:type="dxa"/>
            <w:tcBorders>
              <w:top w:val="single" w:color="000000" w:sz="4" w:space="0"/>
              <w:left w:val="single" w:color="000000" w:sz="4" w:space="0"/>
              <w:bottom w:val="single" w:color="000000" w:sz="10" w:space="0"/>
              <w:right w:val="nil"/>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0</w:t>
            </w:r>
          </w:p>
        </w:tc>
      </w:tr>
    </w:tbl>
    <w:p>
      <w:pPr>
        <w:pStyle w:val="5"/>
        <w:kinsoku w:val="0"/>
        <w:overflowPunct w:val="0"/>
        <w:spacing w:before="3"/>
        <w:ind w:firstLine="181"/>
        <w:rPr>
          <w:rFonts w:ascii="Times New Roman" w:hAnsi="Times New Roman" w:cs="Times New Roman"/>
          <w:b/>
          <w:bCs/>
          <w:sz w:val="9"/>
          <w:szCs w:val="9"/>
        </w:rPr>
      </w:pPr>
    </w:p>
    <w:p>
      <w:pPr>
        <w:spacing w:line="440" w:lineRule="exact"/>
        <w:ind w:firstLine="480"/>
        <w:rPr>
          <w:rFonts w:ascii="Times New Roman" w:hAnsi="Times New Roman" w:cs="Times New Roman"/>
          <w:color w:val="000000"/>
        </w:rPr>
      </w:pPr>
      <w:r>
        <w:rPr>
          <w:rFonts w:ascii="Times New Roman" w:hAnsi="Times New Roman" w:cs="Times New Roman"/>
          <w:color w:val="000000"/>
        </w:rPr>
        <w:t>通过预测，表明，在D-E不同稳定度条件下，各环境敏感点在D-E稳定度条件下不会超标。</w:t>
      </w:r>
    </w:p>
    <w:p>
      <w:pPr>
        <w:numPr>
          <w:ilvl w:val="0"/>
          <w:numId w:val="2"/>
        </w:numPr>
        <w:spacing w:line="440" w:lineRule="exact"/>
        <w:ind w:firstLineChars="0"/>
        <w:rPr>
          <w:rFonts w:ascii="Times New Roman" w:hAnsi="Times New Roman" w:cs="Times New Roman"/>
          <w:color w:val="000000"/>
        </w:rPr>
      </w:pPr>
      <w:r>
        <w:rPr>
          <w:rFonts w:ascii="Times New Roman" w:hAnsi="Times New Roman" w:cs="Times New Roman"/>
          <w:color w:val="000000"/>
        </w:rPr>
        <w:t xml:space="preserve">静风条件、E-F稳定度情况下 </w:t>
      </w:r>
    </w:p>
    <w:p>
      <w:pPr>
        <w:spacing w:line="440" w:lineRule="exact"/>
        <w:ind w:firstLine="480"/>
        <w:rPr>
          <w:rFonts w:ascii="Times New Roman" w:hAnsi="Times New Roman" w:cs="Times New Roman"/>
          <w:sz w:val="15"/>
          <w:szCs w:val="15"/>
        </w:rPr>
      </w:pPr>
      <w:r>
        <w:rPr>
          <w:rFonts w:ascii="Times New Roman" w:hAnsi="Times New Roman" w:cs="Times New Roman"/>
          <w:color w:val="000000"/>
        </w:rPr>
        <w:t>主要选取静风条件下预测氟化氢下风向地面浓度，并分析在各自不利风向下对厂区及周边地区的影响。当储存单元电解液泄漏中主要物质六氟磷酸锂受热产生氟化氢气体时，物料泄漏在E、F稳定度下的挥发速率为0.0165kg/s，持续时间为10min，以每分钟产生2个烟团计算。氟化氢在静风条件下的扩散见表3.1-3。氟化氢在E-F稳定度条件下浓度分布见图3.1-1。</w:t>
      </w:r>
      <w:r>
        <w:rPr>
          <w:rFonts w:ascii="Times New Roman" w:hAnsi="Times New Roman" w:cs="Times New Roman"/>
        </w:rPr>
        <mc:AlternateContent>
          <mc:Choice Requires="wpg">
            <w:drawing>
              <wp:anchor distT="0" distB="0" distL="114300" distR="114300" simplePos="0" relativeHeight="251663360" behindDoc="1" locked="0" layoutInCell="0" allowOverlap="1">
                <wp:simplePos x="0" y="0"/>
                <wp:positionH relativeFrom="page">
                  <wp:posOffset>5788025</wp:posOffset>
                </wp:positionH>
                <wp:positionV relativeFrom="page">
                  <wp:posOffset>3094990</wp:posOffset>
                </wp:positionV>
                <wp:extent cx="402590" cy="100965"/>
                <wp:effectExtent l="0" t="0" r="0" b="0"/>
                <wp:wrapNone/>
                <wp:docPr id="160" name="组合 106"/>
                <wp:cNvGraphicFramePr/>
                <a:graphic xmlns:a="http://schemas.openxmlformats.org/drawingml/2006/main">
                  <a:graphicData uri="http://schemas.microsoft.com/office/word/2010/wordprocessingGroup">
                    <wpg:wgp>
                      <wpg:cNvGrpSpPr/>
                      <wpg:grpSpPr>
                        <a:xfrm>
                          <a:off x="0" y="0"/>
                          <a:ext cx="402590" cy="100965"/>
                          <a:chOff x="9115" y="4874"/>
                          <a:chExt cx="634" cy="159"/>
                        </a:xfrm>
                      </wpg:grpSpPr>
                      <wps:wsp>
                        <wps:cNvPr id="156" name="矩形 107"/>
                        <wps:cNvSpPr/>
                        <wps:spPr>
                          <a:xfrm>
                            <a:off x="9115" y="4874"/>
                            <a:ext cx="360" cy="160"/>
                          </a:xfrm>
                          <a:prstGeom prst="rect">
                            <a:avLst/>
                          </a:prstGeom>
                          <a:noFill/>
                          <a:ln w="9525">
                            <a:noFill/>
                          </a:ln>
                        </wps:spPr>
                        <wps:txbx>
                          <w:txbxContent>
                            <w:p>
                              <w:pPr>
                                <w:widowControl/>
                                <w:spacing w:line="160" w:lineRule="atLeast"/>
                                <w:ind w:firstLine="480"/>
                              </w:pPr>
                              <w:r>
                                <w:rPr>
                                  <w:rFonts w:eastAsia="等线"/>
                                  <w:szCs w:val="24"/>
                                </w:rPr>
                                <w:drawing>
                                  <wp:inline distT="0" distB="0" distL="114300" distR="114300">
                                    <wp:extent cx="233045" cy="93980"/>
                                    <wp:effectExtent l="0" t="0" r="14605" b="1270"/>
                                    <wp:docPr id="19"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6"/>
                                            <pic:cNvPicPr>
                                              <a:picLocks noChangeAspect="1"/>
                                            </pic:cNvPicPr>
                                          </pic:nvPicPr>
                                          <pic:blipFill>
                                            <a:blip r:embed="rId49"/>
                                            <a:stretch>
                                              <a:fillRect/>
                                            </a:stretch>
                                          </pic:blipFill>
                                          <pic:spPr>
                                            <a:xfrm>
                                              <a:off x="0" y="0"/>
                                              <a:ext cx="233045" cy="93980"/>
                                            </a:xfrm>
                                            <a:prstGeom prst="rect">
                                              <a:avLst/>
                                            </a:prstGeom>
                                            <a:noFill/>
                                            <a:ln w="9525">
                                              <a:noFill/>
                                            </a:ln>
                                          </pic:spPr>
                                        </pic:pic>
                                      </a:graphicData>
                                    </a:graphic>
                                  </wp:inline>
                                </w:drawing>
                              </w:r>
                            </w:p>
                            <w:p>
                              <w:pPr>
                                <w:ind w:firstLine="480"/>
                              </w:pPr>
                            </w:p>
                          </w:txbxContent>
                        </wps:txbx>
                        <wps:bodyPr lIns="0" tIns="0" rIns="0" bIns="0" upright="1"/>
                      </wps:wsp>
                      <wps:wsp>
                        <wps:cNvPr id="157" name="矩形 108"/>
                        <wps:cNvSpPr/>
                        <wps:spPr>
                          <a:xfrm>
                            <a:off x="9490" y="4882"/>
                            <a:ext cx="260" cy="160"/>
                          </a:xfrm>
                          <a:prstGeom prst="rect">
                            <a:avLst/>
                          </a:prstGeom>
                          <a:noFill/>
                          <a:ln w="9525">
                            <a:noFill/>
                          </a:ln>
                        </wps:spPr>
                        <wps:txbx>
                          <w:txbxContent>
                            <w:p>
                              <w:pPr>
                                <w:widowControl/>
                                <w:spacing w:line="160" w:lineRule="atLeast"/>
                                <w:ind w:firstLine="480"/>
                              </w:pPr>
                              <w:r>
                                <w:rPr>
                                  <w:rFonts w:eastAsia="等线"/>
                                  <w:szCs w:val="24"/>
                                </w:rPr>
                                <w:drawing>
                                  <wp:inline distT="0" distB="0" distL="114300" distR="114300">
                                    <wp:extent cx="164465" cy="93980"/>
                                    <wp:effectExtent l="0" t="0" r="6985" b="1270"/>
                                    <wp:docPr id="21"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7"/>
                                            <pic:cNvPicPr>
                                              <a:picLocks noChangeAspect="1"/>
                                            </pic:cNvPicPr>
                                          </pic:nvPicPr>
                                          <pic:blipFill>
                                            <a:blip r:embed="rId50"/>
                                            <a:stretch>
                                              <a:fillRect/>
                                            </a:stretch>
                                          </pic:blipFill>
                                          <pic:spPr>
                                            <a:xfrm>
                                              <a:off x="0" y="0"/>
                                              <a:ext cx="164465" cy="93980"/>
                                            </a:xfrm>
                                            <a:prstGeom prst="rect">
                                              <a:avLst/>
                                            </a:prstGeom>
                                            <a:noFill/>
                                            <a:ln w="9525">
                                              <a:noFill/>
                                            </a:ln>
                                          </pic:spPr>
                                        </pic:pic>
                                      </a:graphicData>
                                    </a:graphic>
                                  </wp:inline>
                                </w:drawing>
                              </w:r>
                            </w:p>
                            <w:p>
                              <w:pPr>
                                <w:ind w:firstLine="480"/>
                              </w:pPr>
                            </w:p>
                          </w:txbxContent>
                        </wps:txbx>
                        <wps:bodyPr lIns="0" tIns="0" rIns="0" bIns="0" upright="1"/>
                      </wps:wsp>
                      <wps:wsp>
                        <wps:cNvPr id="158" name="矩形 109"/>
                        <wps:cNvSpPr/>
                        <wps:spPr>
                          <a:xfrm>
                            <a:off x="9115" y="4874"/>
                            <a:ext cx="360" cy="160"/>
                          </a:xfrm>
                          <a:prstGeom prst="rect">
                            <a:avLst/>
                          </a:prstGeom>
                          <a:noFill/>
                          <a:ln w="9525">
                            <a:noFill/>
                          </a:ln>
                        </wps:spPr>
                        <wps:txbx>
                          <w:txbxContent>
                            <w:p>
                              <w:pPr>
                                <w:widowControl/>
                                <w:spacing w:line="160" w:lineRule="atLeast"/>
                                <w:ind w:firstLine="480"/>
                              </w:pPr>
                              <w:r>
                                <w:rPr>
                                  <w:rFonts w:eastAsia="等线"/>
                                  <w:szCs w:val="24"/>
                                </w:rPr>
                                <w:drawing>
                                  <wp:inline distT="0" distB="0" distL="114300" distR="114300">
                                    <wp:extent cx="233045" cy="93980"/>
                                    <wp:effectExtent l="0" t="0" r="14605" b="1270"/>
                                    <wp:docPr id="22"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8"/>
                                            <pic:cNvPicPr>
                                              <a:picLocks noChangeAspect="1"/>
                                            </pic:cNvPicPr>
                                          </pic:nvPicPr>
                                          <pic:blipFill>
                                            <a:blip r:embed="rId49"/>
                                            <a:stretch>
                                              <a:fillRect/>
                                            </a:stretch>
                                          </pic:blipFill>
                                          <pic:spPr>
                                            <a:xfrm>
                                              <a:off x="0" y="0"/>
                                              <a:ext cx="233045" cy="93980"/>
                                            </a:xfrm>
                                            <a:prstGeom prst="rect">
                                              <a:avLst/>
                                            </a:prstGeom>
                                            <a:noFill/>
                                            <a:ln w="9525">
                                              <a:noFill/>
                                            </a:ln>
                                          </pic:spPr>
                                        </pic:pic>
                                      </a:graphicData>
                                    </a:graphic>
                                  </wp:inline>
                                </w:drawing>
                              </w:r>
                            </w:p>
                            <w:p>
                              <w:pPr>
                                <w:ind w:firstLine="480"/>
                              </w:pPr>
                            </w:p>
                          </w:txbxContent>
                        </wps:txbx>
                        <wps:bodyPr lIns="0" tIns="0" rIns="0" bIns="0" upright="1"/>
                      </wps:wsp>
                      <wps:wsp>
                        <wps:cNvPr id="159" name="矩形 110"/>
                        <wps:cNvSpPr/>
                        <wps:spPr>
                          <a:xfrm>
                            <a:off x="9490" y="4882"/>
                            <a:ext cx="260" cy="160"/>
                          </a:xfrm>
                          <a:prstGeom prst="rect">
                            <a:avLst/>
                          </a:prstGeom>
                          <a:noFill/>
                          <a:ln w="9525">
                            <a:noFill/>
                          </a:ln>
                        </wps:spPr>
                        <wps:txbx>
                          <w:txbxContent>
                            <w:p>
                              <w:pPr>
                                <w:widowControl/>
                                <w:spacing w:line="160" w:lineRule="atLeast"/>
                                <w:ind w:firstLine="480"/>
                              </w:pPr>
                              <w:r>
                                <w:rPr>
                                  <w:rFonts w:eastAsia="等线"/>
                                  <w:szCs w:val="24"/>
                                </w:rPr>
                                <w:drawing>
                                  <wp:inline distT="0" distB="0" distL="114300" distR="114300">
                                    <wp:extent cx="164465" cy="93980"/>
                                    <wp:effectExtent l="0" t="0" r="6985" b="1270"/>
                                    <wp:docPr id="2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9"/>
                                            <pic:cNvPicPr>
                                              <a:picLocks noChangeAspect="1"/>
                                            </pic:cNvPicPr>
                                          </pic:nvPicPr>
                                          <pic:blipFill>
                                            <a:blip r:embed="rId50"/>
                                            <a:stretch>
                                              <a:fillRect/>
                                            </a:stretch>
                                          </pic:blipFill>
                                          <pic:spPr>
                                            <a:xfrm>
                                              <a:off x="0" y="0"/>
                                              <a:ext cx="164465" cy="93980"/>
                                            </a:xfrm>
                                            <a:prstGeom prst="rect">
                                              <a:avLst/>
                                            </a:prstGeom>
                                            <a:noFill/>
                                            <a:ln w="9525">
                                              <a:noFill/>
                                            </a:ln>
                                          </pic:spPr>
                                        </pic:pic>
                                      </a:graphicData>
                                    </a:graphic>
                                  </wp:inline>
                                </w:drawing>
                              </w:r>
                            </w:p>
                            <w:p>
                              <w:pPr>
                                <w:ind w:firstLine="480"/>
                              </w:pPr>
                            </w:p>
                          </w:txbxContent>
                        </wps:txbx>
                        <wps:bodyPr lIns="0" tIns="0" rIns="0" bIns="0" upright="1"/>
                      </wps:wsp>
                    </wpg:wgp>
                  </a:graphicData>
                </a:graphic>
              </wp:anchor>
            </w:drawing>
          </mc:Choice>
          <mc:Fallback>
            <w:pict>
              <v:group id="组合 106" o:spid="_x0000_s1026" o:spt="203" style="position:absolute;left:0pt;margin-left:455.75pt;margin-top:243.7pt;height:7.95pt;width:31.7pt;mso-position-horizontal-relative:page;mso-position-vertical-relative:page;z-index:-251653120;mso-width-relative:page;mso-height-relative:page;" coordorigin="9115,4874" coordsize="634,159" o:allowincell="f" o:gfxdata="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Xfh/XcAAAA&#10;CwEAAA8AAAAAAAAAAQAgAAAAIgAAAGRycy9kb3ducmV2LnhtbFBLAQIUABQAAAAIAIdO4kDeSE9M&#10;UgIAAA0JAAAOAAAAAAAAAAEAIAAAACsBAABkcnMvZTJvRG9jLnhtbFBLBQYAAAAABgAGAFkBAADv&#10;BQAAAAA=&#10;">
                <o:lock v:ext="edit" aspectratio="f"/>
                <v:rect id="矩形 107" o:spid="_x0000_s1026" o:spt="1" style="position:absolute;left:9115;top:4874;height:160;width:360;" filled="f" stroked="f" coordsize="21600,21600" o:gfxdata="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z+T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widowControl/>
                          <w:spacing w:line="160" w:lineRule="atLeast"/>
                          <w:ind w:firstLine="480"/>
                        </w:pPr>
                        <w:r>
                          <w:rPr>
                            <w:rFonts w:eastAsia="等线"/>
                            <w:szCs w:val="24"/>
                          </w:rPr>
                          <w:drawing>
                            <wp:inline distT="0" distB="0" distL="114300" distR="114300">
                              <wp:extent cx="233045" cy="93980"/>
                              <wp:effectExtent l="0" t="0" r="14605" b="1270"/>
                              <wp:docPr id="19"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6"/>
                                      <pic:cNvPicPr>
                                        <a:picLocks noChangeAspect="1"/>
                                      </pic:cNvPicPr>
                                    </pic:nvPicPr>
                                    <pic:blipFill>
                                      <a:blip r:embed="rId49"/>
                                      <a:stretch>
                                        <a:fillRect/>
                                      </a:stretch>
                                    </pic:blipFill>
                                    <pic:spPr>
                                      <a:xfrm>
                                        <a:off x="0" y="0"/>
                                        <a:ext cx="233045" cy="93980"/>
                                      </a:xfrm>
                                      <a:prstGeom prst="rect">
                                        <a:avLst/>
                                      </a:prstGeom>
                                      <a:noFill/>
                                      <a:ln w="9525">
                                        <a:noFill/>
                                      </a:ln>
                                    </pic:spPr>
                                  </pic:pic>
                                </a:graphicData>
                              </a:graphic>
                            </wp:inline>
                          </w:drawing>
                        </w:r>
                      </w:p>
                      <w:p>
                        <w:pPr>
                          <w:ind w:firstLine="480"/>
                        </w:pPr>
                      </w:p>
                    </w:txbxContent>
                  </v:textbox>
                </v:rect>
                <v:rect id="矩形 108" o:spid="_x0000_s1026" o:spt="1" style="position:absolute;left:9490;top:4882;height:160;width:260;" filled="f" stroked="f" coordsize="21600,21600" o:gfxdata="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P1yu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widowControl/>
                          <w:spacing w:line="160" w:lineRule="atLeast"/>
                          <w:ind w:firstLine="480"/>
                        </w:pPr>
                        <w:r>
                          <w:rPr>
                            <w:rFonts w:eastAsia="等线"/>
                            <w:szCs w:val="24"/>
                          </w:rPr>
                          <w:drawing>
                            <wp:inline distT="0" distB="0" distL="114300" distR="114300">
                              <wp:extent cx="164465" cy="93980"/>
                              <wp:effectExtent l="0" t="0" r="6985" b="1270"/>
                              <wp:docPr id="21"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7"/>
                                      <pic:cNvPicPr>
                                        <a:picLocks noChangeAspect="1"/>
                                      </pic:cNvPicPr>
                                    </pic:nvPicPr>
                                    <pic:blipFill>
                                      <a:blip r:embed="rId50"/>
                                      <a:stretch>
                                        <a:fillRect/>
                                      </a:stretch>
                                    </pic:blipFill>
                                    <pic:spPr>
                                      <a:xfrm>
                                        <a:off x="0" y="0"/>
                                        <a:ext cx="164465" cy="93980"/>
                                      </a:xfrm>
                                      <a:prstGeom prst="rect">
                                        <a:avLst/>
                                      </a:prstGeom>
                                      <a:noFill/>
                                      <a:ln w="9525">
                                        <a:noFill/>
                                      </a:ln>
                                    </pic:spPr>
                                  </pic:pic>
                                </a:graphicData>
                              </a:graphic>
                            </wp:inline>
                          </w:drawing>
                        </w:r>
                      </w:p>
                      <w:p>
                        <w:pPr>
                          <w:ind w:firstLine="480"/>
                        </w:pPr>
                      </w:p>
                    </w:txbxContent>
                  </v:textbox>
                </v:rect>
                <v:rect id="矩形 109" o:spid="_x0000_s1026" o:spt="1" style="position:absolute;left:9115;top:4874;height:160;width:360;" filled="f" stroked="f" coordsize="21600,21600" o:gfxdata="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gyN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spacing w:line="160" w:lineRule="atLeast"/>
                          <w:ind w:firstLine="480"/>
                        </w:pPr>
                        <w:r>
                          <w:rPr>
                            <w:rFonts w:eastAsia="等线"/>
                            <w:szCs w:val="24"/>
                          </w:rPr>
                          <w:drawing>
                            <wp:inline distT="0" distB="0" distL="114300" distR="114300">
                              <wp:extent cx="233045" cy="93980"/>
                              <wp:effectExtent l="0" t="0" r="14605" b="1270"/>
                              <wp:docPr id="22"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8"/>
                                      <pic:cNvPicPr>
                                        <a:picLocks noChangeAspect="1"/>
                                      </pic:cNvPicPr>
                                    </pic:nvPicPr>
                                    <pic:blipFill>
                                      <a:blip r:embed="rId49"/>
                                      <a:stretch>
                                        <a:fillRect/>
                                      </a:stretch>
                                    </pic:blipFill>
                                    <pic:spPr>
                                      <a:xfrm>
                                        <a:off x="0" y="0"/>
                                        <a:ext cx="233045" cy="93980"/>
                                      </a:xfrm>
                                      <a:prstGeom prst="rect">
                                        <a:avLst/>
                                      </a:prstGeom>
                                      <a:noFill/>
                                      <a:ln w="9525">
                                        <a:noFill/>
                                      </a:ln>
                                    </pic:spPr>
                                  </pic:pic>
                                </a:graphicData>
                              </a:graphic>
                            </wp:inline>
                          </w:drawing>
                        </w:r>
                      </w:p>
                      <w:p>
                        <w:pPr>
                          <w:ind w:firstLine="480"/>
                        </w:pPr>
                      </w:p>
                    </w:txbxContent>
                  </v:textbox>
                </v:rect>
                <v:rect id="矩形 110" o:spid="_x0000_s1026" o:spt="1" style="position:absolute;left:9490;top:4882;height:160;width:260;" filled="f" stroked="f" coordsize="21600,21600" o:gfxdata="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xtR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widowControl/>
                          <w:spacing w:line="160" w:lineRule="atLeast"/>
                          <w:ind w:firstLine="480"/>
                        </w:pPr>
                        <w:r>
                          <w:rPr>
                            <w:rFonts w:eastAsia="等线"/>
                            <w:szCs w:val="24"/>
                          </w:rPr>
                          <w:drawing>
                            <wp:inline distT="0" distB="0" distL="114300" distR="114300">
                              <wp:extent cx="164465" cy="93980"/>
                              <wp:effectExtent l="0" t="0" r="6985" b="1270"/>
                              <wp:docPr id="2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9"/>
                                      <pic:cNvPicPr>
                                        <a:picLocks noChangeAspect="1"/>
                                      </pic:cNvPicPr>
                                    </pic:nvPicPr>
                                    <pic:blipFill>
                                      <a:blip r:embed="rId50"/>
                                      <a:stretch>
                                        <a:fillRect/>
                                      </a:stretch>
                                    </pic:blipFill>
                                    <pic:spPr>
                                      <a:xfrm>
                                        <a:off x="0" y="0"/>
                                        <a:ext cx="164465" cy="93980"/>
                                      </a:xfrm>
                                      <a:prstGeom prst="rect">
                                        <a:avLst/>
                                      </a:prstGeom>
                                      <a:noFill/>
                                      <a:ln w="9525">
                                        <a:noFill/>
                                      </a:ln>
                                    </pic:spPr>
                                  </pic:pic>
                                </a:graphicData>
                              </a:graphic>
                            </wp:inline>
                          </w:drawing>
                        </w:r>
                      </w:p>
                      <w:p>
                        <w:pPr>
                          <w:ind w:firstLine="480"/>
                        </w:pPr>
                      </w:p>
                    </w:txbxContent>
                  </v:textbox>
                </v:rect>
              </v:group>
            </w:pict>
          </mc:Fallback>
        </mc:AlternateContent>
      </w:r>
      <w:r>
        <w:rPr>
          <w:rFonts w:ascii="Times New Roman" w:hAnsi="Times New Roman" w:cs="Times New Roman"/>
        </w:rPr>
        <mc:AlternateContent>
          <mc:Choice Requires="wps">
            <w:drawing>
              <wp:anchor distT="0" distB="0" distL="114300" distR="114300" simplePos="0" relativeHeight="251664384" behindDoc="1" locked="0" layoutInCell="0" allowOverlap="1">
                <wp:simplePos x="0" y="0"/>
                <wp:positionH relativeFrom="page">
                  <wp:posOffset>5797550</wp:posOffset>
                </wp:positionH>
                <wp:positionV relativeFrom="page">
                  <wp:posOffset>3268980</wp:posOffset>
                </wp:positionV>
                <wp:extent cx="355600" cy="76200"/>
                <wp:effectExtent l="0" t="0" r="0" b="0"/>
                <wp:wrapNone/>
                <wp:docPr id="25" name="矩形 111"/>
                <wp:cNvGraphicFramePr/>
                <a:graphic xmlns:a="http://schemas.openxmlformats.org/drawingml/2006/main">
                  <a:graphicData uri="http://schemas.microsoft.com/office/word/2010/wordprocessingShape">
                    <wps:wsp>
                      <wps:cNvSpPr/>
                      <wps:spPr>
                        <a:xfrm>
                          <a:off x="0" y="0"/>
                          <a:ext cx="355600" cy="76200"/>
                        </a:xfrm>
                        <a:prstGeom prst="rect">
                          <a:avLst/>
                        </a:prstGeom>
                        <a:noFill/>
                        <a:ln w="9525">
                          <a:noFill/>
                        </a:ln>
                      </wps:spPr>
                      <wps:txbx>
                        <w:txbxContent>
                          <w:p>
                            <w:pPr>
                              <w:widowControl/>
                              <w:spacing w:line="120" w:lineRule="atLeast"/>
                              <w:ind w:firstLine="480"/>
                            </w:pPr>
                            <w:r>
                              <w:rPr>
                                <w:rFonts w:eastAsia="等线"/>
                                <w:szCs w:val="24"/>
                              </w:rPr>
                              <w:drawing>
                                <wp:inline distT="0" distB="0" distL="114300" distR="114300">
                                  <wp:extent cx="351790" cy="82550"/>
                                  <wp:effectExtent l="0" t="0" r="10160" b="12700"/>
                                  <wp:docPr id="26"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40"/>
                                          <pic:cNvPicPr>
                                            <a:picLocks noChangeAspect="1"/>
                                          </pic:cNvPicPr>
                                        </pic:nvPicPr>
                                        <pic:blipFill>
                                          <a:blip r:embed="rId51"/>
                                          <a:stretch>
                                            <a:fillRect/>
                                          </a:stretch>
                                        </pic:blipFill>
                                        <pic:spPr>
                                          <a:xfrm>
                                            <a:off x="0" y="0"/>
                                            <a:ext cx="351790" cy="82550"/>
                                          </a:xfrm>
                                          <a:prstGeom prst="rect">
                                            <a:avLst/>
                                          </a:prstGeom>
                                          <a:noFill/>
                                          <a:ln w="9525">
                                            <a:noFill/>
                                          </a:ln>
                                        </pic:spPr>
                                      </pic:pic>
                                    </a:graphicData>
                                  </a:graphic>
                                </wp:inline>
                              </w:drawing>
                            </w:r>
                          </w:p>
                          <w:p>
                            <w:pPr>
                              <w:ind w:firstLine="480"/>
                            </w:pPr>
                          </w:p>
                        </w:txbxContent>
                      </wps:txbx>
                      <wps:bodyPr lIns="0" tIns="0" rIns="0" bIns="0" upright="1"/>
                    </wps:wsp>
                  </a:graphicData>
                </a:graphic>
              </wp:anchor>
            </w:drawing>
          </mc:Choice>
          <mc:Fallback>
            <w:pict>
              <v:rect id="矩形 111" o:spid="_x0000_s1026" o:spt="1" style="position:absolute;left:0pt;margin-left:456.5pt;margin-top:257.4pt;height:6pt;width:28pt;mso-position-horizontal-relative:page;mso-position-vertical-relative:page;z-index:-251652096;mso-width-relative:page;mso-height-relative:page;" filled="f" stroked="f" coordsize="21600,21600" o:allowincell="f" o:gfxdata="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H0xUBNsAAAALAQAADwAAAAAAAAAB&#10;ACAAAAAiAAAAZHJzL2Rvd25yZXYueG1sUEsBAhQAFAAAAAgAh07iQPJNuB6bAQAAIQMAAA4AAAAA&#10;AAAAAQAgAAAAKgEAAGRycy9lMm9Eb2MueG1sUEsFBgAAAAAGAAYAWQEAADcFAAAAAA==&#10;">
                <v:fill on="f" focussize="0,0"/>
                <v:stroke on="f"/>
                <v:imagedata o:title=""/>
                <o:lock v:ext="edit" aspectratio="f"/>
                <v:textbox inset="0mm,0mm,0mm,0mm">
                  <w:txbxContent>
                    <w:p>
                      <w:pPr>
                        <w:widowControl/>
                        <w:spacing w:line="120" w:lineRule="atLeast"/>
                        <w:ind w:firstLine="480"/>
                      </w:pPr>
                      <w:r>
                        <w:rPr>
                          <w:rFonts w:eastAsia="等线"/>
                          <w:szCs w:val="24"/>
                        </w:rPr>
                        <w:drawing>
                          <wp:inline distT="0" distB="0" distL="114300" distR="114300">
                            <wp:extent cx="351790" cy="82550"/>
                            <wp:effectExtent l="0" t="0" r="10160" b="12700"/>
                            <wp:docPr id="26"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40"/>
                                    <pic:cNvPicPr>
                                      <a:picLocks noChangeAspect="1"/>
                                    </pic:cNvPicPr>
                                  </pic:nvPicPr>
                                  <pic:blipFill>
                                    <a:blip r:embed="rId51"/>
                                    <a:stretch>
                                      <a:fillRect/>
                                    </a:stretch>
                                  </pic:blipFill>
                                  <pic:spPr>
                                    <a:xfrm>
                                      <a:off x="0" y="0"/>
                                      <a:ext cx="351790" cy="82550"/>
                                    </a:xfrm>
                                    <a:prstGeom prst="rect">
                                      <a:avLst/>
                                    </a:prstGeom>
                                    <a:noFill/>
                                    <a:ln w="9525">
                                      <a:noFill/>
                                    </a:ln>
                                  </pic:spPr>
                                </pic:pic>
                              </a:graphicData>
                            </a:graphic>
                          </wp:inline>
                        </w:drawing>
                      </w:r>
                    </w:p>
                    <w:p>
                      <w:pPr>
                        <w:ind w:firstLine="480"/>
                      </w:pPr>
                    </w:p>
                  </w:txbxContent>
                </v:textbox>
              </v:rect>
            </w:pict>
          </mc:Fallback>
        </mc:AlternateContent>
      </w:r>
    </w:p>
    <w:p>
      <w:pPr>
        <w:snapToGrid w:val="0"/>
        <w:spacing w:line="560" w:lineRule="exact"/>
        <w:ind w:firstLine="480" w:firstLineChars="0"/>
        <w:jc w:val="center"/>
        <w:rPr>
          <w:rFonts w:ascii="Times New Roman" w:hAnsi="Times New Roman" w:eastAsia="黑体" w:cs="Times New Roman"/>
          <w:snapToGrid w:val="0"/>
          <w:kern w:val="0"/>
          <w:szCs w:val="24"/>
        </w:rPr>
      </w:pPr>
      <w:r>
        <w:rPr>
          <w:rFonts w:ascii="Times New Roman" w:hAnsi="Times New Roman" w:eastAsia="黑体" w:cs="Times New Roman"/>
          <w:snapToGrid w:val="0"/>
          <w:kern w:val="0"/>
          <w:szCs w:val="24"/>
        </w:rPr>
        <w:tab/>
      </w:r>
      <w:r>
        <w:rPr>
          <w:rFonts w:ascii="Times New Roman" w:hAnsi="Times New Roman" w:eastAsia="黑体" w:cs="Times New Roman"/>
          <w:snapToGrid w:val="0"/>
          <w:kern w:val="0"/>
          <w:szCs w:val="24"/>
        </w:rPr>
        <w:t>静风条件下事故发生后氟化氢的最大浓度（mg/m</w:t>
      </w:r>
      <w:r>
        <w:rPr>
          <w:rFonts w:ascii="Times New Roman" w:hAnsi="Times New Roman" w:eastAsia="黑体" w:cs="Times New Roman"/>
          <w:snapToGrid w:val="0"/>
          <w:kern w:val="0"/>
          <w:szCs w:val="24"/>
          <w:vertAlign w:val="superscript"/>
        </w:rPr>
        <w:t>3</w:t>
      </w:r>
      <w:r>
        <w:rPr>
          <w:rFonts w:ascii="Times New Roman" w:hAnsi="Times New Roman" w:eastAsia="黑体" w:cs="Times New Roman"/>
          <w:snapToGrid w:val="0"/>
          <w:kern w:val="0"/>
          <w:szCs w:val="24"/>
        </w:rPr>
        <w:t>）</w:t>
      </w:r>
    </w:p>
    <w:p>
      <w:pPr>
        <w:snapToGrid w:val="0"/>
        <w:spacing w:line="0" w:lineRule="atLeast"/>
        <w:ind w:firstLine="0" w:firstLineChars="0"/>
        <w:jc w:val="left"/>
        <w:rPr>
          <w:rFonts w:ascii="Times New Roman" w:hAnsi="Times New Roman" w:cs="Times New Roman"/>
          <w:snapToGrid w:val="0"/>
          <w:kern w:val="0"/>
          <w:sz w:val="21"/>
          <w:szCs w:val="24"/>
        </w:rPr>
      </w:pPr>
      <w:r>
        <w:rPr>
          <w:rFonts w:ascii="Times New Roman" w:hAnsi="Times New Roman" w:cs="Times New Roman"/>
          <w:snapToGrid w:val="0"/>
          <w:kern w:val="0"/>
          <w:sz w:val="21"/>
          <w:szCs w:val="24"/>
        </w:rPr>
        <w:t xml:space="preserve">表3.1-3 </w:t>
      </w:r>
    </w:p>
    <w:tbl>
      <w:tblPr>
        <w:tblStyle w:val="11"/>
        <w:tblW w:w="8539" w:type="dxa"/>
        <w:jc w:val="center"/>
        <w:tblInd w:w="0" w:type="dxa"/>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
      <w:tblGrid>
        <w:gridCol w:w="2747"/>
        <w:gridCol w:w="5792"/>
      </w:tblGrid>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292" w:hRule="exact"/>
          <w:jc w:val="center"/>
        </w:trPr>
        <w:tc>
          <w:tcPr>
            <w:tcW w:w="2747" w:type="dxa"/>
            <w:vMerge w:val="restart"/>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b/>
                <w:bCs/>
                <w:sz w:val="21"/>
                <w:szCs w:val="21"/>
              </w:rPr>
              <w:t>下风距离（m）</w:t>
            </w:r>
          </w:p>
        </w:tc>
        <w:tc>
          <w:tcPr>
            <w:tcW w:w="5792" w:type="dxa"/>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b/>
                <w:bCs/>
                <w:spacing w:val="3"/>
                <w:sz w:val="21"/>
                <w:szCs w:val="21"/>
              </w:rPr>
              <w:t>大气稳定度类型</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245" w:hRule="exact"/>
          <w:jc w:val="center"/>
        </w:trPr>
        <w:tc>
          <w:tcPr>
            <w:tcW w:w="2747" w:type="dxa"/>
            <w:vMerge w:val="continue"/>
            <w:vAlign w:val="center"/>
          </w:tcPr>
          <w:p>
            <w:pPr>
              <w:pStyle w:val="15"/>
              <w:kinsoku w:val="0"/>
              <w:overflowPunct w:val="0"/>
              <w:spacing w:line="240" w:lineRule="auto"/>
              <w:ind w:firstLine="0" w:firstLineChars="0"/>
              <w:jc w:val="center"/>
              <w:rPr>
                <w:rFonts w:ascii="Times New Roman" w:hAnsi="Times New Roman" w:cs="Times New Roman"/>
              </w:rPr>
            </w:pPr>
          </w:p>
        </w:tc>
        <w:tc>
          <w:tcPr>
            <w:tcW w:w="5792" w:type="dxa"/>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b/>
                <w:bCs/>
                <w:sz w:val="21"/>
                <w:szCs w:val="21"/>
              </w:rPr>
              <w:t>E-F</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252" w:hRule="exact"/>
          <w:jc w:val="center"/>
        </w:trPr>
        <w:tc>
          <w:tcPr>
            <w:tcW w:w="2747" w:type="dxa"/>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10</w:t>
            </w:r>
          </w:p>
        </w:tc>
        <w:tc>
          <w:tcPr>
            <w:tcW w:w="5792" w:type="dxa"/>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88.5759</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245" w:hRule="exact"/>
          <w:jc w:val="center"/>
        </w:trPr>
        <w:tc>
          <w:tcPr>
            <w:tcW w:w="2747" w:type="dxa"/>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20</w:t>
            </w:r>
          </w:p>
        </w:tc>
        <w:tc>
          <w:tcPr>
            <w:tcW w:w="5792" w:type="dxa"/>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48.2238</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245" w:hRule="exact"/>
          <w:jc w:val="center"/>
        </w:trPr>
        <w:tc>
          <w:tcPr>
            <w:tcW w:w="2747" w:type="dxa"/>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50</w:t>
            </w:r>
          </w:p>
        </w:tc>
        <w:tc>
          <w:tcPr>
            <w:tcW w:w="5792" w:type="dxa"/>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7.0151</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245" w:hRule="exact"/>
          <w:jc w:val="center"/>
        </w:trPr>
        <w:tc>
          <w:tcPr>
            <w:tcW w:w="2747" w:type="dxa"/>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80</w:t>
            </w:r>
          </w:p>
        </w:tc>
        <w:tc>
          <w:tcPr>
            <w:tcW w:w="5792" w:type="dxa"/>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2.6784</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252" w:hRule="exact"/>
          <w:jc w:val="center"/>
        </w:trPr>
        <w:tc>
          <w:tcPr>
            <w:tcW w:w="2747" w:type="dxa"/>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100</w:t>
            </w:r>
          </w:p>
        </w:tc>
        <w:tc>
          <w:tcPr>
            <w:tcW w:w="5792" w:type="dxa"/>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1.6860</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245" w:hRule="exact"/>
          <w:jc w:val="center"/>
        </w:trPr>
        <w:tc>
          <w:tcPr>
            <w:tcW w:w="2747" w:type="dxa"/>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150</w:t>
            </w:r>
          </w:p>
        </w:tc>
        <w:tc>
          <w:tcPr>
            <w:tcW w:w="5792" w:type="dxa"/>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0.6958</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256" w:hRule="exact"/>
          <w:jc w:val="center"/>
        </w:trPr>
        <w:tc>
          <w:tcPr>
            <w:tcW w:w="2747" w:type="dxa"/>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200</w:t>
            </w:r>
          </w:p>
        </w:tc>
        <w:tc>
          <w:tcPr>
            <w:tcW w:w="5792" w:type="dxa"/>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0.3468</w:t>
            </w:r>
          </w:p>
        </w:tc>
      </w:tr>
    </w:tbl>
    <w:p>
      <w:pPr>
        <w:widowControl/>
        <w:spacing w:line="240" w:lineRule="auto"/>
        <w:ind w:firstLine="0" w:firstLineChars="0"/>
        <w:jc w:val="center"/>
        <w:rPr>
          <w:rFonts w:ascii="Times New Roman" w:hAnsi="Times New Roman" w:cs="Times New Roman"/>
          <w:kern w:val="0"/>
          <w:szCs w:val="24"/>
        </w:rPr>
      </w:pPr>
      <w:r>
        <w:rPr>
          <w:rFonts w:ascii="Times New Roman" w:hAnsi="Times New Roman" w:cs="Times New Roman"/>
          <w:kern w:val="0"/>
          <w:szCs w:val="24"/>
        </w:rPr>
        <w:fldChar w:fldCharType="begin"/>
      </w:r>
      <w:r>
        <w:rPr>
          <w:rFonts w:ascii="Times New Roman" w:hAnsi="Times New Roman" w:cs="Times New Roman"/>
          <w:kern w:val="0"/>
          <w:szCs w:val="24"/>
        </w:rPr>
        <w:instrText xml:space="preserve"> INCLUDEPICTURE "C:\\Users\\Administrator\\AppData\\Roaming\\Tencent\\Users\\532983636\\QQ\\WinTemp\\RichOle\\%Z8N_CB}K[$Q}$AX252)D4F.png" \* MERGEFORMATINET </w:instrText>
      </w:r>
      <w:r>
        <w:rPr>
          <w:rFonts w:ascii="Times New Roman" w:hAnsi="Times New Roman" w:cs="Times New Roman"/>
          <w:kern w:val="0"/>
          <w:szCs w:val="24"/>
        </w:rPr>
        <w:fldChar w:fldCharType="separate"/>
      </w:r>
      <w:r>
        <w:rPr>
          <w:rFonts w:ascii="Times New Roman" w:hAnsi="Times New Roman" w:cs="Times New Roman"/>
          <w:kern w:val="0"/>
          <w:szCs w:val="24"/>
        </w:rPr>
        <w:drawing>
          <wp:inline distT="0" distB="0" distL="114300" distR="114300">
            <wp:extent cx="4611370" cy="3305810"/>
            <wp:effectExtent l="0" t="0" r="17780" b="8890"/>
            <wp:docPr id="27" name="图片 41" descr="%Z8N_CB}K[$Q}$AX252)D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1" descr="%Z8N_CB}K[$Q}$AX252)D4F"/>
                    <pic:cNvPicPr>
                      <a:picLocks noChangeAspect="1"/>
                    </pic:cNvPicPr>
                  </pic:nvPicPr>
                  <pic:blipFill>
                    <a:blip r:embed="rId52"/>
                    <a:stretch>
                      <a:fillRect/>
                    </a:stretch>
                  </pic:blipFill>
                  <pic:spPr>
                    <a:xfrm>
                      <a:off x="0" y="0"/>
                      <a:ext cx="4611370" cy="3305810"/>
                    </a:xfrm>
                    <a:prstGeom prst="rect">
                      <a:avLst/>
                    </a:prstGeom>
                    <a:noFill/>
                    <a:ln w="9525">
                      <a:noFill/>
                    </a:ln>
                  </pic:spPr>
                </pic:pic>
              </a:graphicData>
            </a:graphic>
          </wp:inline>
        </w:drawing>
      </w:r>
      <w:r>
        <w:rPr>
          <w:rFonts w:ascii="Times New Roman" w:hAnsi="Times New Roman" w:cs="Times New Roman"/>
          <w:kern w:val="0"/>
          <w:szCs w:val="24"/>
        </w:rPr>
        <w:fldChar w:fldCharType="end"/>
      </w:r>
    </w:p>
    <w:p>
      <w:pPr>
        <w:pStyle w:val="5"/>
        <w:kinsoku w:val="0"/>
        <w:overflowPunct w:val="0"/>
        <w:spacing w:line="172" w:lineRule="exact"/>
        <w:ind w:left="3400" w:firstLine="340"/>
        <w:rPr>
          <w:rFonts w:ascii="Times New Roman" w:hAnsi="Times New Roman" w:cs="Times New Roman"/>
          <w:position w:val="-3"/>
          <w:sz w:val="17"/>
          <w:szCs w:val="17"/>
        </w:rPr>
      </w:pPr>
      <w:r>
        <w:rPr>
          <w:rFonts w:ascii="Times New Roman" w:hAnsi="Times New Roman" w:cs="Times New Roman"/>
          <w:position w:val="-3"/>
          <w:sz w:val="17"/>
          <w:szCs w:val="17"/>
        </w:rPr>
        <mc:AlternateContent>
          <mc:Choice Requires="wpg">
            <w:drawing>
              <wp:inline distT="0" distB="0" distL="114300" distR="114300">
                <wp:extent cx="155575" cy="109855"/>
                <wp:effectExtent l="0" t="0" r="0" b="0"/>
                <wp:docPr id="155" name="组合 112"/>
                <wp:cNvGraphicFramePr/>
                <a:graphic xmlns:a="http://schemas.openxmlformats.org/drawingml/2006/main">
                  <a:graphicData uri="http://schemas.microsoft.com/office/word/2010/wordprocessingGroup">
                    <wpg:wgp>
                      <wpg:cNvGrpSpPr>
                        <a:grpSpLocks noRot="1"/>
                      </wpg:cNvGrpSpPr>
                      <wpg:grpSpPr>
                        <a:xfrm>
                          <a:off x="0" y="0"/>
                          <a:ext cx="155575" cy="109855"/>
                          <a:chOff x="0" y="0"/>
                          <a:chExt cx="245" cy="173"/>
                        </a:xfrm>
                      </wpg:grpSpPr>
                      <wps:wsp>
                        <wps:cNvPr id="153" name="矩形 113"/>
                        <wps:cNvSpPr/>
                        <wps:spPr>
                          <a:xfrm>
                            <a:off x="0" y="29"/>
                            <a:ext cx="80" cy="120"/>
                          </a:xfrm>
                          <a:prstGeom prst="rect">
                            <a:avLst/>
                          </a:prstGeom>
                          <a:noFill/>
                          <a:ln w="9525">
                            <a:noFill/>
                          </a:ln>
                        </wps:spPr>
                        <wps:txbx>
                          <w:txbxContent>
                            <w:p>
                              <w:pPr>
                                <w:widowControl/>
                                <w:spacing w:line="120" w:lineRule="atLeast"/>
                                <w:ind w:firstLine="480"/>
                              </w:pPr>
                              <w:r>
                                <w:rPr>
                                  <w:rFonts w:eastAsia="等线"/>
                                  <w:szCs w:val="24"/>
                                </w:rPr>
                                <w:drawing>
                                  <wp:inline distT="0" distB="0" distL="114300" distR="114300">
                                    <wp:extent cx="45720" cy="82550"/>
                                    <wp:effectExtent l="0" t="0" r="11430" b="12700"/>
                                    <wp:docPr id="29"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42"/>
                                            <pic:cNvPicPr>
                                              <a:picLocks noChangeAspect="1"/>
                                            </pic:cNvPicPr>
                                          </pic:nvPicPr>
                                          <pic:blipFill>
                                            <a:blip r:embed="rId53"/>
                                            <a:stretch>
                                              <a:fillRect/>
                                            </a:stretch>
                                          </pic:blipFill>
                                          <pic:spPr>
                                            <a:xfrm>
                                              <a:off x="0" y="0"/>
                                              <a:ext cx="45720" cy="82550"/>
                                            </a:xfrm>
                                            <a:prstGeom prst="rect">
                                              <a:avLst/>
                                            </a:prstGeom>
                                            <a:noFill/>
                                            <a:ln w="9525">
                                              <a:noFill/>
                                            </a:ln>
                                          </pic:spPr>
                                        </pic:pic>
                                      </a:graphicData>
                                    </a:graphic>
                                  </wp:inline>
                                </w:drawing>
                              </w:r>
                            </w:p>
                            <w:p>
                              <w:pPr>
                                <w:ind w:firstLine="480"/>
                              </w:pPr>
                            </w:p>
                          </w:txbxContent>
                        </wps:txbx>
                        <wps:bodyPr lIns="0" tIns="0" rIns="0" bIns="0" upright="1"/>
                      </wps:wsp>
                      <wps:wsp>
                        <wps:cNvPr id="154" name="矩形 114"/>
                        <wps:cNvSpPr/>
                        <wps:spPr>
                          <a:xfrm>
                            <a:off x="94" y="0"/>
                            <a:ext cx="160" cy="180"/>
                          </a:xfrm>
                          <a:prstGeom prst="rect">
                            <a:avLst/>
                          </a:prstGeom>
                          <a:noFill/>
                          <a:ln w="9525">
                            <a:noFill/>
                          </a:ln>
                        </wps:spPr>
                        <wps:txbx>
                          <w:txbxContent>
                            <w:p>
                              <w:pPr>
                                <w:widowControl/>
                                <w:spacing w:line="180" w:lineRule="atLeast"/>
                                <w:ind w:firstLine="480"/>
                              </w:pPr>
                              <w:r>
                                <w:rPr>
                                  <w:rFonts w:eastAsia="等线"/>
                                  <w:szCs w:val="24"/>
                                </w:rPr>
                                <w:drawing>
                                  <wp:inline distT="0" distB="0" distL="114300" distR="114300">
                                    <wp:extent cx="93980" cy="109855"/>
                                    <wp:effectExtent l="0" t="0" r="1270" b="4445"/>
                                    <wp:docPr id="31"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3"/>
                                            <pic:cNvPicPr>
                                              <a:picLocks noChangeAspect="1"/>
                                            </pic:cNvPicPr>
                                          </pic:nvPicPr>
                                          <pic:blipFill>
                                            <a:blip r:embed="rId54"/>
                                            <a:stretch>
                                              <a:fillRect/>
                                            </a:stretch>
                                          </pic:blipFill>
                                          <pic:spPr>
                                            <a:xfrm>
                                              <a:off x="0" y="0"/>
                                              <a:ext cx="93980" cy="109855"/>
                                            </a:xfrm>
                                            <a:prstGeom prst="rect">
                                              <a:avLst/>
                                            </a:prstGeom>
                                            <a:noFill/>
                                            <a:ln w="9525">
                                              <a:noFill/>
                                            </a:ln>
                                          </pic:spPr>
                                        </pic:pic>
                                      </a:graphicData>
                                    </a:graphic>
                                  </wp:inline>
                                </w:drawing>
                              </w:r>
                            </w:p>
                            <w:p>
                              <w:pPr>
                                <w:ind w:firstLine="480"/>
                              </w:pPr>
                            </w:p>
                          </w:txbxContent>
                        </wps:txbx>
                        <wps:bodyPr lIns="0" tIns="0" rIns="0" bIns="0" upright="1"/>
                      </wps:wsp>
                    </wpg:wgp>
                  </a:graphicData>
                </a:graphic>
              </wp:inline>
            </w:drawing>
          </mc:Choice>
          <mc:Fallback>
            <w:pict>
              <v:group id="组合 112" o:spid="_x0000_s1026" o:spt="203" style="height:8.65pt;width:12.25pt;" coordsize="245,173" o:gfxdata="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uPAozUAAAAAwEAAA8AAAAAAAAAAQAgAAAAIgAAAGRycy9kb3ducmV2Lnht&#10;bFBLAQIUABQAAAAIAIdO4kA9xEQENgIAAP8FAAAOAAAAAAAAAAEAIAAAACMBAABkcnMvZTJvRG9j&#10;LnhtbFBLBQYAAAAABgAGAFkBAADLBQAAAAA=&#10;">
                <o:lock v:ext="edit" rotation="t" aspectratio="f"/>
                <v:rect id="矩形 113" o:spid="_x0000_s1026" o:spt="1" style="position:absolute;left:0;top:29;height:120;width:80;" filled="f" stroked="f" coordsize="21600,21600" o:gfxdata="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BFqt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widowControl/>
                          <w:spacing w:line="120" w:lineRule="atLeast"/>
                          <w:ind w:firstLine="480"/>
                        </w:pPr>
                        <w:r>
                          <w:rPr>
                            <w:rFonts w:eastAsia="等线"/>
                            <w:szCs w:val="24"/>
                          </w:rPr>
                          <w:drawing>
                            <wp:inline distT="0" distB="0" distL="114300" distR="114300">
                              <wp:extent cx="45720" cy="82550"/>
                              <wp:effectExtent l="0" t="0" r="11430" b="12700"/>
                              <wp:docPr id="29"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42"/>
                                      <pic:cNvPicPr>
                                        <a:picLocks noChangeAspect="1"/>
                                      </pic:cNvPicPr>
                                    </pic:nvPicPr>
                                    <pic:blipFill>
                                      <a:blip r:embed="rId53"/>
                                      <a:stretch>
                                        <a:fillRect/>
                                      </a:stretch>
                                    </pic:blipFill>
                                    <pic:spPr>
                                      <a:xfrm>
                                        <a:off x="0" y="0"/>
                                        <a:ext cx="45720" cy="82550"/>
                                      </a:xfrm>
                                      <a:prstGeom prst="rect">
                                        <a:avLst/>
                                      </a:prstGeom>
                                      <a:noFill/>
                                      <a:ln w="9525">
                                        <a:noFill/>
                                      </a:ln>
                                    </pic:spPr>
                                  </pic:pic>
                                </a:graphicData>
                              </a:graphic>
                            </wp:inline>
                          </w:drawing>
                        </w:r>
                      </w:p>
                      <w:p>
                        <w:pPr>
                          <w:ind w:firstLine="480"/>
                        </w:pPr>
                      </w:p>
                    </w:txbxContent>
                  </v:textbox>
                </v:rect>
                <v:rect id="矩形 114" o:spid="_x0000_s1026" o:spt="1" style="position:absolute;left:94;top:0;height:180;width:160;" filled="f" stroked="f" coordsize="21600,21600" o:gfxdata="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7cLZ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widowControl/>
                          <w:spacing w:line="180" w:lineRule="atLeast"/>
                          <w:ind w:firstLine="480"/>
                        </w:pPr>
                        <w:r>
                          <w:rPr>
                            <w:rFonts w:eastAsia="等线"/>
                            <w:szCs w:val="24"/>
                          </w:rPr>
                          <w:drawing>
                            <wp:inline distT="0" distB="0" distL="114300" distR="114300">
                              <wp:extent cx="93980" cy="109855"/>
                              <wp:effectExtent l="0" t="0" r="1270" b="4445"/>
                              <wp:docPr id="31"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3"/>
                                      <pic:cNvPicPr>
                                        <a:picLocks noChangeAspect="1"/>
                                      </pic:cNvPicPr>
                                    </pic:nvPicPr>
                                    <pic:blipFill>
                                      <a:blip r:embed="rId54"/>
                                      <a:stretch>
                                        <a:fillRect/>
                                      </a:stretch>
                                    </pic:blipFill>
                                    <pic:spPr>
                                      <a:xfrm>
                                        <a:off x="0" y="0"/>
                                        <a:ext cx="93980" cy="109855"/>
                                      </a:xfrm>
                                      <a:prstGeom prst="rect">
                                        <a:avLst/>
                                      </a:prstGeom>
                                      <a:noFill/>
                                      <a:ln w="9525">
                                        <a:noFill/>
                                      </a:ln>
                                    </pic:spPr>
                                  </pic:pic>
                                </a:graphicData>
                              </a:graphic>
                            </wp:inline>
                          </w:drawing>
                        </w:r>
                      </w:p>
                      <w:p>
                        <w:pPr>
                          <w:ind w:firstLine="480"/>
                        </w:pPr>
                      </w:p>
                    </w:txbxContent>
                  </v:textbox>
                </v:rect>
                <w10:wrap type="none"/>
                <w10:anchorlock/>
              </v:group>
            </w:pict>
          </mc:Fallback>
        </mc:AlternateContent>
      </w:r>
    </w:p>
    <w:p>
      <w:pPr>
        <w:pStyle w:val="5"/>
        <w:kinsoku w:val="0"/>
        <w:overflowPunct w:val="0"/>
        <w:spacing w:before="8"/>
        <w:ind w:firstLine="140"/>
        <w:rPr>
          <w:rFonts w:ascii="Times New Roman" w:hAnsi="Times New Roman" w:cs="Times New Roman"/>
          <w:sz w:val="7"/>
          <w:szCs w:val="7"/>
        </w:rPr>
      </w:pPr>
    </w:p>
    <w:p>
      <w:pPr>
        <w:pStyle w:val="5"/>
        <w:kinsoku w:val="0"/>
        <w:overflowPunct w:val="0"/>
        <w:spacing w:before="35" w:line="352" w:lineRule="auto"/>
        <w:ind w:left="239" w:right="187" w:firstLine="480"/>
        <w:jc w:val="center"/>
        <w:rPr>
          <w:rFonts w:ascii="Times New Roman" w:hAnsi="Times New Roman" w:cs="Times New Roman"/>
        </w:rPr>
      </w:pPr>
      <w:r>
        <w:rPr>
          <w:rFonts w:ascii="Times New Roman" w:hAnsi="Times New Roman" w:cs="Times New Roman"/>
        </w:rPr>
        <w:t xml:space="preserve">图3.1-1 </w:t>
      </w:r>
      <w:r>
        <w:rPr>
          <w:rFonts w:ascii="Times New Roman" w:hAnsi="Times New Roman" w:cs="Times New Roman"/>
        </w:rPr>
        <w:tab/>
      </w:r>
      <w:r>
        <w:rPr>
          <w:rFonts w:ascii="Times New Roman" w:hAnsi="Times New Roman" w:cs="Times New Roman"/>
        </w:rPr>
        <w:t>氟化氢 E-F稳定度静风条件下浓度分布图（单位：m）</w:t>
      </w:r>
    </w:p>
    <w:p>
      <w:pPr>
        <w:pStyle w:val="5"/>
        <w:kinsoku w:val="0"/>
        <w:overflowPunct w:val="0"/>
        <w:spacing w:before="35" w:line="352" w:lineRule="auto"/>
        <w:ind w:left="239" w:right="187" w:firstLine="480"/>
        <w:rPr>
          <w:rFonts w:ascii="Times New Roman" w:hAnsi="Times New Roman" w:cs="Times New Roman"/>
        </w:rPr>
      </w:pPr>
      <w:r>
        <w:rPr>
          <w:rFonts w:ascii="Times New Roman" w:hAnsi="Times New Roman" w:cs="Times New Roman"/>
        </w:rPr>
        <w:t>根据以上分析，在静风条件下氟化氢的扩散没有达到半致死浓度。经预测，</w:t>
      </w:r>
      <w:r>
        <w:rPr>
          <w:rFonts w:ascii="Times New Roman" w:hAnsi="Times New Roman" w:cs="Times New Roman"/>
          <w:spacing w:val="2"/>
          <w:w w:val="105"/>
        </w:rPr>
        <w:t>静风条件下氟化氢在</w:t>
      </w:r>
      <w:r>
        <w:rPr>
          <w:rFonts w:ascii="Times New Roman" w:hAnsi="Times New Roman" w:cs="Times New Roman"/>
          <w:w w:val="105"/>
        </w:rPr>
        <w:t>E-F</w:t>
      </w:r>
      <w:r>
        <w:rPr>
          <w:rFonts w:ascii="Times New Roman" w:hAnsi="Times New Roman" w:cs="Times New Roman"/>
          <w:spacing w:val="3"/>
          <w:w w:val="105"/>
        </w:rPr>
        <w:t>稳定度条件下最大地面浓度</w:t>
      </w:r>
      <w:r>
        <w:rPr>
          <w:rFonts w:ascii="Times New Roman" w:hAnsi="Times New Roman" w:cs="Times New Roman"/>
          <w:w w:val="105"/>
        </w:rPr>
        <w:t>89.3mg/m</w:t>
      </w:r>
      <w:r>
        <w:rPr>
          <w:rFonts w:ascii="Times New Roman" w:hAnsi="Times New Roman" w:cs="Times New Roman"/>
          <w:w w:val="105"/>
          <w:position w:val="11"/>
          <w:sz w:val="16"/>
          <w:szCs w:val="16"/>
        </w:rPr>
        <w:t>3</w:t>
      </w:r>
      <w:r>
        <w:rPr>
          <w:rFonts w:ascii="Times New Roman" w:hAnsi="Times New Roman" w:cs="Times New Roman"/>
          <w:w w:val="105"/>
        </w:rPr>
        <w:t>，位于下风向8.8m处，浓度超过最高容许浓度2mg/m</w:t>
      </w:r>
      <w:r>
        <w:rPr>
          <w:rFonts w:ascii="Times New Roman" w:hAnsi="Times New Roman" w:cs="Times New Roman"/>
          <w:w w:val="105"/>
          <w:position w:val="11"/>
          <w:sz w:val="16"/>
          <w:szCs w:val="16"/>
        </w:rPr>
        <w:t>3</w:t>
      </w:r>
      <w:r>
        <w:rPr>
          <w:rFonts w:ascii="Times New Roman" w:hAnsi="Times New Roman" w:cs="Times New Roman"/>
          <w:w w:val="105"/>
        </w:rPr>
        <w:t>，没有达到大鼠吸入</w:t>
      </w:r>
      <w:r>
        <w:rPr>
          <w:rFonts w:ascii="Times New Roman" w:hAnsi="Times New Roman" w:cs="Times New Roman"/>
          <w:spacing w:val="-74"/>
          <w:w w:val="105"/>
        </w:rPr>
        <w:t xml:space="preserve"> </w:t>
      </w:r>
      <w:r>
        <w:rPr>
          <w:rFonts w:ascii="Times New Roman" w:hAnsi="Times New Roman" w:cs="Times New Roman"/>
          <w:w w:val="105"/>
        </w:rPr>
        <w:t>LC</w:t>
      </w:r>
      <w:r>
        <w:rPr>
          <w:rFonts w:ascii="Times New Roman" w:hAnsi="Times New Roman" w:cs="Times New Roman"/>
          <w:w w:val="105"/>
          <w:position w:val="-3"/>
          <w:sz w:val="16"/>
          <w:szCs w:val="16"/>
        </w:rPr>
        <w:t>50</w:t>
      </w:r>
      <w:r>
        <w:rPr>
          <w:rFonts w:ascii="Times New Roman" w:hAnsi="Times New Roman" w:cs="Times New Roman"/>
          <w:w w:val="105"/>
        </w:rPr>
        <w:t>1044mg/m</w:t>
      </w:r>
      <w:r>
        <w:rPr>
          <w:rFonts w:ascii="Times New Roman" w:hAnsi="Times New Roman" w:cs="Times New Roman"/>
          <w:w w:val="105"/>
          <w:position w:val="11"/>
          <w:sz w:val="16"/>
          <w:szCs w:val="16"/>
        </w:rPr>
        <w:t>3</w:t>
      </w:r>
      <w:r>
        <w:rPr>
          <w:rFonts w:ascii="Times New Roman" w:hAnsi="Times New Roman" w:cs="Times New Roman"/>
          <w:w w:val="105"/>
        </w:rPr>
        <w:t>，对周围环境影响较小。</w:t>
      </w:r>
    </w:p>
    <w:p>
      <w:pPr>
        <w:numPr>
          <w:ilvl w:val="1"/>
          <w:numId w:val="1"/>
        </w:numPr>
        <w:autoSpaceDE w:val="0"/>
        <w:autoSpaceDN w:val="0"/>
        <w:adjustRightInd w:val="0"/>
        <w:snapToGrid w:val="0"/>
        <w:spacing w:line="600" w:lineRule="exact"/>
        <w:ind w:left="1072" w:hanging="1072" w:firstLineChars="0"/>
        <w:jc w:val="left"/>
        <w:textAlignment w:val="baseline"/>
        <w:outlineLvl w:val="1"/>
        <w:rPr>
          <w:rFonts w:ascii="Times New Roman" w:hAnsi="Times New Roman" w:eastAsia="黑体" w:cs="Times New Roman"/>
          <w:b/>
          <w:bCs/>
          <w:sz w:val="30"/>
          <w:szCs w:val="32"/>
        </w:rPr>
      </w:pPr>
      <w:bookmarkStart w:id="9" w:name="_Toc422308958"/>
      <w:r>
        <w:rPr>
          <w:rFonts w:ascii="Times New Roman" w:hAnsi="Times New Roman" w:eastAsia="黑体" w:cs="Times New Roman"/>
          <w:b/>
          <w:bCs/>
          <w:sz w:val="30"/>
          <w:szCs w:val="32"/>
        </w:rPr>
        <w:t>火灾评价</w:t>
      </w:r>
      <w:bookmarkEnd w:id="9"/>
    </w:p>
    <w:p>
      <w:pPr>
        <w:pStyle w:val="5"/>
        <w:kinsoku w:val="0"/>
        <w:overflowPunct w:val="0"/>
        <w:spacing w:before="8"/>
        <w:ind w:firstLine="422"/>
        <w:rPr>
          <w:rFonts w:ascii="Times New Roman" w:hAnsi="Times New Roman" w:cs="Times New Roman"/>
          <w:b/>
          <w:bCs/>
          <w:sz w:val="21"/>
          <w:szCs w:val="21"/>
        </w:rPr>
      </w:pPr>
    </w:p>
    <w:p>
      <w:pPr>
        <w:pStyle w:val="5"/>
        <w:kinsoku w:val="0"/>
        <w:overflowPunct w:val="0"/>
        <w:spacing w:before="35" w:line="352" w:lineRule="auto"/>
        <w:ind w:left="239" w:right="187" w:firstLine="480"/>
        <w:rPr>
          <w:rFonts w:ascii="Times New Roman" w:hAnsi="Times New Roman" w:cs="Times New Roman"/>
        </w:rPr>
      </w:pPr>
      <w:r>
        <w:rPr>
          <w:rFonts w:ascii="Times New Roman" w:hAnsi="Times New Roman" w:cs="Times New Roman"/>
        </w:rPr>
        <w:t>（1）燃烧的必要条件</w:t>
      </w:r>
    </w:p>
    <w:p>
      <w:pPr>
        <w:pStyle w:val="5"/>
        <w:kinsoku w:val="0"/>
        <w:overflowPunct w:val="0"/>
        <w:spacing w:before="35" w:line="352" w:lineRule="auto"/>
        <w:ind w:left="239" w:right="187" w:firstLine="480"/>
        <w:rPr>
          <w:rFonts w:ascii="Times New Roman" w:hAnsi="Times New Roman" w:cs="Times New Roman"/>
        </w:rPr>
      </w:pPr>
      <w:r>
        <w:rPr>
          <w:rFonts w:ascii="Times New Roman" w:hAnsi="Times New Roman" w:cs="Times New Roman"/>
        </w:rPr>
        <w:t>对本项目而言，当可燃气体浓度(与空气混合物)处于燃烧极限以内，又存在超过最小点燃能量的着火源时，便会发生火灾事故。</w:t>
      </w:r>
    </w:p>
    <w:p>
      <w:pPr>
        <w:pStyle w:val="5"/>
        <w:kinsoku w:val="0"/>
        <w:overflowPunct w:val="0"/>
        <w:spacing w:before="35" w:line="352" w:lineRule="auto"/>
        <w:ind w:left="239" w:right="187" w:firstLine="480"/>
        <w:rPr>
          <w:rFonts w:ascii="Times New Roman" w:hAnsi="Times New Roman" w:cs="Times New Roman"/>
        </w:rPr>
      </w:pPr>
      <w:r>
        <w:rPr>
          <w:rFonts w:ascii="Times New Roman" w:hAnsi="Times New Roman" w:cs="Times New Roman"/>
        </w:rPr>
        <w:t>明火和违章作业、电气及设备缺陷或故障是导致火灾事故的主要原因，静电的危害也比较明显。</w:t>
      </w:r>
    </w:p>
    <w:p>
      <w:pPr>
        <w:pStyle w:val="5"/>
        <w:kinsoku w:val="0"/>
        <w:overflowPunct w:val="0"/>
        <w:spacing w:before="35" w:line="352" w:lineRule="auto"/>
        <w:ind w:left="239" w:right="187" w:firstLine="480"/>
        <w:rPr>
          <w:rFonts w:ascii="Times New Roman" w:hAnsi="Times New Roman" w:cs="Times New Roman"/>
        </w:rPr>
      </w:pPr>
      <w:r>
        <w:rPr>
          <w:rFonts w:ascii="Times New Roman" w:hAnsi="Times New Roman" w:cs="Times New Roman"/>
        </w:rPr>
        <w:t xml:space="preserve">（2）池火 </w:t>
      </w:r>
    </w:p>
    <w:p>
      <w:pPr>
        <w:pStyle w:val="5"/>
        <w:kinsoku w:val="0"/>
        <w:overflowPunct w:val="0"/>
        <w:spacing w:before="35" w:line="352" w:lineRule="auto"/>
        <w:ind w:left="239" w:right="187" w:firstLine="480"/>
        <w:rPr>
          <w:rFonts w:ascii="Times New Roman" w:hAnsi="Times New Roman" w:cs="Times New Roman"/>
        </w:rPr>
      </w:pPr>
      <w:r>
        <w:rPr>
          <w:rFonts w:ascii="Times New Roman" w:hAnsi="Times New Roman" w:cs="Times New Roman"/>
        </w:rPr>
        <w:t>在工业生产及储运中，火灾比爆炸或有毒物质泄漏更经常发生。火灾是通过放出辐射热影响周围环境。火灾辐射热造成的损害可由接受辐射热能量的大小衡量，即单位表面积在接触时间内所吸收能量或单位面积受到辐射的功率大小来计算。如果辐射热的能量达到一定程度，可引起其它可燃物燃烧。一般而言，火的辐射热局限于近火源的区域内(约 200 米)，对邻近地区影响不大。</w:t>
      </w:r>
    </w:p>
    <w:p>
      <w:pPr>
        <w:pStyle w:val="5"/>
        <w:kinsoku w:val="0"/>
        <w:overflowPunct w:val="0"/>
        <w:spacing w:before="35" w:line="352" w:lineRule="auto"/>
        <w:ind w:left="239" w:right="187" w:firstLine="480"/>
        <w:rPr>
          <w:rFonts w:ascii="Times New Roman" w:hAnsi="Times New Roman" w:cs="Times New Roman"/>
        </w:rPr>
      </w:pPr>
      <w:r>
        <w:rPr>
          <w:rFonts w:ascii="Times New Roman" w:hAnsi="Times New Roman" w:cs="Times New Roman"/>
        </w:rPr>
        <w:t>由于在本项目厂区内，储存区的易燃物质的危险性及数量大于生产装置区，因此该区域发生火灾的几率和危害大于其它地方。当大量的可燃性液体泄漏到地面后，将向四周流淌、扩展，由于受到围堰的阻挡，液体将在限定区域内得以积聚，形成一定厚度的液池。这时，若遇到火源，液池将被点燃，发生地面池火。池火一旦发生，除对处于池火中的人员和设备设施的安全构成严重威胁外，也会对周围的人员和设备造成损换损坏。在热辐射的作用下，受到伤害或破坏的目标可能是人、设备、设施、厂房、建筑物等。</w:t>
      </w:r>
    </w:p>
    <w:p>
      <w:pPr>
        <w:pStyle w:val="5"/>
        <w:kinsoku w:val="0"/>
        <w:overflowPunct w:val="0"/>
        <w:spacing w:before="35" w:line="352" w:lineRule="auto"/>
        <w:ind w:left="239" w:right="187" w:firstLine="480"/>
        <w:rPr>
          <w:rFonts w:ascii="Times New Roman" w:hAnsi="Times New Roman" w:cs="Times New Roman"/>
        </w:rPr>
      </w:pPr>
      <w:r>
        <w:rPr>
          <w:rFonts w:ascii="Times New Roman" w:hAnsi="Times New Roman" w:cs="Times New Roman"/>
        </w:rPr>
        <w:t>本项目电解液属于易燃液体。类比同行业相同混合液的燃烧热值进行计算。本项目装卸单元电解液发生泄漏并引发池火事故时，其源项详见表3.2-1。</w:t>
      </w:r>
    </w:p>
    <w:p>
      <w:pPr>
        <w:snapToGrid w:val="0"/>
        <w:spacing w:line="560" w:lineRule="exact"/>
        <w:ind w:firstLine="480" w:firstLineChars="0"/>
        <w:jc w:val="center"/>
        <w:rPr>
          <w:rFonts w:ascii="Times New Roman" w:hAnsi="Times New Roman" w:eastAsia="黑体" w:cs="Times New Roman"/>
          <w:snapToGrid w:val="0"/>
          <w:kern w:val="0"/>
          <w:szCs w:val="24"/>
        </w:rPr>
      </w:pPr>
      <w:r>
        <w:rPr>
          <w:rFonts w:ascii="Times New Roman" w:hAnsi="Times New Roman" w:eastAsia="黑体" w:cs="Times New Roman"/>
          <w:snapToGrid w:val="0"/>
          <w:kern w:val="0"/>
          <w:szCs w:val="24"/>
        </w:rPr>
        <w:tab/>
      </w:r>
      <w:r>
        <w:rPr>
          <w:rFonts w:ascii="Times New Roman" w:hAnsi="Times New Roman" w:eastAsia="黑体" w:cs="Times New Roman"/>
          <w:snapToGrid w:val="0"/>
          <w:kern w:val="0"/>
          <w:szCs w:val="24"/>
        </w:rPr>
        <w:t>危险品库发生池火参数选择</w:t>
      </w:r>
    </w:p>
    <w:p>
      <w:pPr>
        <w:snapToGrid w:val="0"/>
        <w:spacing w:line="0" w:lineRule="atLeast"/>
        <w:ind w:firstLine="0" w:firstLineChars="0"/>
        <w:jc w:val="left"/>
        <w:rPr>
          <w:rFonts w:ascii="Times New Roman" w:hAnsi="Times New Roman" w:eastAsia="黑体" w:cs="Times New Roman"/>
          <w:snapToGrid w:val="0"/>
          <w:kern w:val="0"/>
          <w:szCs w:val="24"/>
        </w:rPr>
      </w:pPr>
      <w:r>
        <w:rPr>
          <w:rFonts w:ascii="Times New Roman" w:hAnsi="Times New Roman" w:cs="Times New Roman"/>
          <w:snapToGrid w:val="0"/>
          <w:kern w:val="0"/>
          <w:sz w:val="21"/>
          <w:szCs w:val="24"/>
        </w:rPr>
        <w:t xml:space="preserve">表3.2-1 </w:t>
      </w:r>
    </w:p>
    <w:tbl>
      <w:tblPr>
        <w:tblStyle w:val="11"/>
        <w:tblW w:w="8539" w:type="dxa"/>
        <w:tblInd w:w="103" w:type="dxa"/>
        <w:tblLayout w:type="fixed"/>
        <w:tblCellMar>
          <w:top w:w="0" w:type="dxa"/>
          <w:left w:w="0" w:type="dxa"/>
          <w:bottom w:w="0" w:type="dxa"/>
          <w:right w:w="0" w:type="dxa"/>
        </w:tblCellMar>
      </w:tblPr>
      <w:tblGrid>
        <w:gridCol w:w="2855"/>
        <w:gridCol w:w="2844"/>
        <w:gridCol w:w="2840"/>
      </w:tblGrid>
      <w:tr>
        <w:tblPrEx>
          <w:tblLayout w:type="fixed"/>
          <w:tblCellMar>
            <w:top w:w="0" w:type="dxa"/>
            <w:left w:w="0" w:type="dxa"/>
            <w:bottom w:w="0" w:type="dxa"/>
            <w:right w:w="0" w:type="dxa"/>
          </w:tblCellMar>
        </w:tblPrEx>
        <w:trPr>
          <w:trHeight w:val="292" w:hRule="exact"/>
        </w:trPr>
        <w:tc>
          <w:tcPr>
            <w:tcW w:w="2855" w:type="dxa"/>
            <w:tcBorders>
              <w:top w:val="single" w:color="000000" w:sz="10" w:space="0"/>
              <w:left w:val="nil"/>
              <w:bottom w:val="single" w:color="000000" w:sz="2" w:space="0"/>
              <w:right w:val="single" w:color="000000" w:sz="2" w:space="0"/>
            </w:tcBorders>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b/>
                <w:bCs/>
                <w:sz w:val="21"/>
                <w:szCs w:val="21"/>
              </w:rPr>
              <w:t>池火参数</w:t>
            </w:r>
          </w:p>
        </w:tc>
        <w:tc>
          <w:tcPr>
            <w:tcW w:w="2844" w:type="dxa"/>
            <w:tcBorders>
              <w:top w:val="single" w:color="000000" w:sz="10" w:space="0"/>
              <w:left w:val="single" w:color="000000" w:sz="2" w:space="0"/>
              <w:bottom w:val="single" w:color="000000" w:sz="2" w:space="0"/>
              <w:right w:val="single" w:color="000000" w:sz="2" w:space="0"/>
            </w:tcBorders>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b/>
                <w:bCs/>
                <w:spacing w:val="2"/>
                <w:sz w:val="21"/>
                <w:szCs w:val="21"/>
              </w:rPr>
              <w:t>电解液</w:t>
            </w:r>
          </w:p>
        </w:tc>
        <w:tc>
          <w:tcPr>
            <w:tcW w:w="2840" w:type="dxa"/>
            <w:tcBorders>
              <w:top w:val="single" w:color="000000" w:sz="10" w:space="0"/>
              <w:left w:val="single" w:color="000000" w:sz="2" w:space="0"/>
              <w:bottom w:val="single" w:color="000000" w:sz="2" w:space="0"/>
              <w:right w:val="nil"/>
            </w:tcBorders>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b/>
                <w:bCs/>
                <w:spacing w:val="3"/>
                <w:sz w:val="21"/>
                <w:szCs w:val="21"/>
              </w:rPr>
              <w:t>单位</w:t>
            </w:r>
          </w:p>
        </w:tc>
      </w:tr>
      <w:tr>
        <w:tblPrEx>
          <w:tblLayout w:type="fixed"/>
          <w:tblCellMar>
            <w:top w:w="0" w:type="dxa"/>
            <w:left w:w="0" w:type="dxa"/>
            <w:bottom w:w="0" w:type="dxa"/>
            <w:right w:w="0" w:type="dxa"/>
          </w:tblCellMar>
        </w:tblPrEx>
        <w:trPr>
          <w:trHeight w:val="281" w:hRule="exact"/>
        </w:trPr>
        <w:tc>
          <w:tcPr>
            <w:tcW w:w="2855" w:type="dxa"/>
            <w:tcBorders>
              <w:top w:val="single" w:color="000000" w:sz="2" w:space="0"/>
              <w:left w:val="nil"/>
              <w:bottom w:val="single" w:color="000000" w:sz="2" w:space="0"/>
              <w:right w:val="single" w:color="000000" w:sz="2" w:space="0"/>
            </w:tcBorders>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燃烧热</w:t>
            </w:r>
          </w:p>
        </w:tc>
        <w:tc>
          <w:tcPr>
            <w:tcW w:w="2844" w:type="dxa"/>
            <w:tcBorders>
              <w:top w:val="single" w:color="000000" w:sz="2" w:space="0"/>
              <w:left w:val="single" w:color="000000" w:sz="2" w:space="0"/>
              <w:bottom w:val="single" w:color="000000" w:sz="2" w:space="0"/>
              <w:right w:val="single" w:color="000000" w:sz="2" w:space="0"/>
            </w:tcBorders>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12504100</w:t>
            </w:r>
          </w:p>
        </w:tc>
        <w:tc>
          <w:tcPr>
            <w:tcW w:w="2840" w:type="dxa"/>
            <w:tcBorders>
              <w:top w:val="single" w:color="000000" w:sz="2" w:space="0"/>
              <w:left w:val="single" w:color="000000" w:sz="2" w:space="0"/>
              <w:bottom w:val="single" w:color="000000" w:sz="2" w:space="0"/>
              <w:right w:val="nil"/>
            </w:tcBorders>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J/kg</w:t>
            </w:r>
          </w:p>
        </w:tc>
      </w:tr>
      <w:tr>
        <w:tblPrEx>
          <w:tblLayout w:type="fixed"/>
          <w:tblCellMar>
            <w:top w:w="0" w:type="dxa"/>
            <w:left w:w="0" w:type="dxa"/>
            <w:bottom w:w="0" w:type="dxa"/>
            <w:right w:w="0" w:type="dxa"/>
          </w:tblCellMar>
        </w:tblPrEx>
        <w:trPr>
          <w:trHeight w:val="288" w:hRule="exact"/>
        </w:trPr>
        <w:tc>
          <w:tcPr>
            <w:tcW w:w="2855" w:type="dxa"/>
            <w:tcBorders>
              <w:top w:val="single" w:color="000000" w:sz="2" w:space="0"/>
              <w:left w:val="nil"/>
              <w:bottom w:val="single" w:color="000000" w:sz="2" w:space="0"/>
              <w:right w:val="single" w:color="000000" w:sz="2" w:space="0"/>
            </w:tcBorders>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蒸发热</w:t>
            </w:r>
          </w:p>
        </w:tc>
        <w:tc>
          <w:tcPr>
            <w:tcW w:w="2844" w:type="dxa"/>
            <w:tcBorders>
              <w:top w:val="single" w:color="000000" w:sz="2" w:space="0"/>
              <w:left w:val="single" w:color="000000" w:sz="2" w:space="0"/>
              <w:bottom w:val="single" w:color="000000" w:sz="2" w:space="0"/>
              <w:right w:val="single" w:color="000000" w:sz="2" w:space="0"/>
            </w:tcBorders>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32280</w:t>
            </w:r>
          </w:p>
        </w:tc>
        <w:tc>
          <w:tcPr>
            <w:tcW w:w="2840" w:type="dxa"/>
            <w:tcBorders>
              <w:top w:val="single" w:color="000000" w:sz="2" w:space="0"/>
              <w:left w:val="single" w:color="000000" w:sz="2" w:space="0"/>
              <w:bottom w:val="single" w:color="000000" w:sz="2" w:space="0"/>
              <w:right w:val="nil"/>
            </w:tcBorders>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J/kg</w:t>
            </w:r>
          </w:p>
        </w:tc>
      </w:tr>
      <w:tr>
        <w:tblPrEx>
          <w:tblLayout w:type="fixed"/>
          <w:tblCellMar>
            <w:top w:w="0" w:type="dxa"/>
            <w:left w:w="0" w:type="dxa"/>
            <w:bottom w:w="0" w:type="dxa"/>
            <w:right w:w="0" w:type="dxa"/>
          </w:tblCellMar>
        </w:tblPrEx>
        <w:trPr>
          <w:trHeight w:val="281" w:hRule="exact"/>
        </w:trPr>
        <w:tc>
          <w:tcPr>
            <w:tcW w:w="2855" w:type="dxa"/>
            <w:tcBorders>
              <w:top w:val="single" w:color="000000" w:sz="2" w:space="0"/>
              <w:left w:val="nil"/>
              <w:bottom w:val="single" w:color="000000" w:sz="2" w:space="0"/>
              <w:right w:val="single" w:color="000000" w:sz="2" w:space="0"/>
            </w:tcBorders>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定压热容</w:t>
            </w:r>
          </w:p>
        </w:tc>
        <w:tc>
          <w:tcPr>
            <w:tcW w:w="2844" w:type="dxa"/>
            <w:tcBorders>
              <w:top w:val="single" w:color="000000" w:sz="2" w:space="0"/>
              <w:left w:val="single" w:color="000000" w:sz="2" w:space="0"/>
              <w:bottom w:val="single" w:color="000000" w:sz="2" w:space="0"/>
              <w:right w:val="single" w:color="000000" w:sz="2" w:space="0"/>
            </w:tcBorders>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1920</w:t>
            </w:r>
          </w:p>
        </w:tc>
        <w:tc>
          <w:tcPr>
            <w:tcW w:w="2840" w:type="dxa"/>
            <w:tcBorders>
              <w:top w:val="single" w:color="000000" w:sz="2" w:space="0"/>
              <w:left w:val="single" w:color="000000" w:sz="2" w:space="0"/>
              <w:bottom w:val="single" w:color="000000" w:sz="2" w:space="0"/>
              <w:right w:val="nil"/>
            </w:tcBorders>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J/（kg·K）</w:t>
            </w:r>
          </w:p>
        </w:tc>
      </w:tr>
      <w:tr>
        <w:tblPrEx>
          <w:tblLayout w:type="fixed"/>
          <w:tblCellMar>
            <w:top w:w="0" w:type="dxa"/>
            <w:left w:w="0" w:type="dxa"/>
            <w:bottom w:w="0" w:type="dxa"/>
            <w:right w:w="0" w:type="dxa"/>
          </w:tblCellMar>
        </w:tblPrEx>
        <w:trPr>
          <w:trHeight w:val="281" w:hRule="exact"/>
        </w:trPr>
        <w:tc>
          <w:tcPr>
            <w:tcW w:w="2855" w:type="dxa"/>
            <w:tcBorders>
              <w:top w:val="single" w:color="000000" w:sz="2" w:space="0"/>
              <w:left w:val="nil"/>
              <w:bottom w:val="single" w:color="000000" w:sz="2" w:space="0"/>
              <w:right w:val="single" w:color="000000" w:sz="2" w:space="0"/>
            </w:tcBorders>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沸点</w:t>
            </w:r>
          </w:p>
        </w:tc>
        <w:tc>
          <w:tcPr>
            <w:tcW w:w="2844" w:type="dxa"/>
            <w:tcBorders>
              <w:top w:val="single" w:color="000000" w:sz="2" w:space="0"/>
              <w:left w:val="single" w:color="000000" w:sz="2" w:space="0"/>
              <w:bottom w:val="single" w:color="000000" w:sz="2" w:space="0"/>
              <w:right w:val="single" w:color="000000" w:sz="2" w:space="0"/>
            </w:tcBorders>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20-248</w:t>
            </w:r>
          </w:p>
        </w:tc>
        <w:tc>
          <w:tcPr>
            <w:tcW w:w="2840" w:type="dxa"/>
            <w:tcBorders>
              <w:top w:val="single" w:color="000000" w:sz="2" w:space="0"/>
              <w:left w:val="single" w:color="000000" w:sz="2" w:space="0"/>
              <w:bottom w:val="single" w:color="000000" w:sz="2" w:space="0"/>
              <w:right w:val="nil"/>
            </w:tcBorders>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w w:val="99"/>
                <w:sz w:val="21"/>
                <w:szCs w:val="21"/>
              </w:rPr>
              <w:t>℃</w:t>
            </w:r>
          </w:p>
        </w:tc>
      </w:tr>
      <w:tr>
        <w:tblPrEx>
          <w:tblLayout w:type="fixed"/>
          <w:tblCellMar>
            <w:top w:w="0" w:type="dxa"/>
            <w:left w:w="0" w:type="dxa"/>
            <w:bottom w:w="0" w:type="dxa"/>
            <w:right w:w="0" w:type="dxa"/>
          </w:tblCellMar>
        </w:tblPrEx>
        <w:trPr>
          <w:trHeight w:val="281" w:hRule="exact"/>
        </w:trPr>
        <w:tc>
          <w:tcPr>
            <w:tcW w:w="2855" w:type="dxa"/>
            <w:tcBorders>
              <w:top w:val="single" w:color="000000" w:sz="2" w:space="0"/>
              <w:left w:val="nil"/>
              <w:bottom w:val="single" w:color="000000" w:sz="2" w:space="0"/>
              <w:right w:val="single" w:color="000000" w:sz="2" w:space="0"/>
            </w:tcBorders>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总质量</w:t>
            </w:r>
          </w:p>
        </w:tc>
        <w:tc>
          <w:tcPr>
            <w:tcW w:w="2844" w:type="dxa"/>
            <w:tcBorders>
              <w:top w:val="single" w:color="000000" w:sz="2" w:space="0"/>
              <w:left w:val="single" w:color="000000" w:sz="2" w:space="0"/>
              <w:bottom w:val="single" w:color="000000" w:sz="2" w:space="0"/>
              <w:right w:val="single" w:color="000000" w:sz="2" w:space="0"/>
            </w:tcBorders>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200</w:t>
            </w:r>
          </w:p>
        </w:tc>
        <w:tc>
          <w:tcPr>
            <w:tcW w:w="2840" w:type="dxa"/>
            <w:tcBorders>
              <w:top w:val="single" w:color="000000" w:sz="2" w:space="0"/>
              <w:left w:val="single" w:color="000000" w:sz="2" w:space="0"/>
              <w:bottom w:val="single" w:color="000000" w:sz="2" w:space="0"/>
              <w:right w:val="nil"/>
            </w:tcBorders>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kg</w:t>
            </w:r>
          </w:p>
        </w:tc>
      </w:tr>
      <w:tr>
        <w:tblPrEx>
          <w:tblLayout w:type="fixed"/>
          <w:tblCellMar>
            <w:top w:w="0" w:type="dxa"/>
            <w:left w:w="0" w:type="dxa"/>
            <w:bottom w:w="0" w:type="dxa"/>
            <w:right w:w="0" w:type="dxa"/>
          </w:tblCellMar>
        </w:tblPrEx>
        <w:trPr>
          <w:trHeight w:val="281" w:hRule="exact"/>
        </w:trPr>
        <w:tc>
          <w:tcPr>
            <w:tcW w:w="2855" w:type="dxa"/>
            <w:tcBorders>
              <w:top w:val="single" w:color="000000" w:sz="2" w:space="0"/>
              <w:left w:val="nil"/>
              <w:bottom w:val="single" w:color="000000" w:sz="2" w:space="0"/>
              <w:right w:val="single" w:color="000000" w:sz="2" w:space="0"/>
            </w:tcBorders>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温度</w:t>
            </w:r>
          </w:p>
        </w:tc>
        <w:tc>
          <w:tcPr>
            <w:tcW w:w="2844" w:type="dxa"/>
            <w:tcBorders>
              <w:top w:val="single" w:color="000000" w:sz="2" w:space="0"/>
              <w:left w:val="single" w:color="000000" w:sz="2" w:space="0"/>
              <w:bottom w:val="single" w:color="000000" w:sz="2" w:space="0"/>
              <w:right w:val="single" w:color="000000" w:sz="2" w:space="0"/>
            </w:tcBorders>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20</w:t>
            </w:r>
          </w:p>
        </w:tc>
        <w:tc>
          <w:tcPr>
            <w:tcW w:w="2840" w:type="dxa"/>
            <w:tcBorders>
              <w:top w:val="single" w:color="000000" w:sz="2" w:space="0"/>
              <w:left w:val="single" w:color="000000" w:sz="2" w:space="0"/>
              <w:bottom w:val="single" w:color="000000" w:sz="2" w:space="0"/>
              <w:right w:val="nil"/>
            </w:tcBorders>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w w:val="99"/>
                <w:sz w:val="21"/>
                <w:szCs w:val="21"/>
              </w:rPr>
              <w:t>℃</w:t>
            </w:r>
          </w:p>
        </w:tc>
      </w:tr>
      <w:tr>
        <w:tblPrEx>
          <w:tblLayout w:type="fixed"/>
          <w:tblCellMar>
            <w:top w:w="0" w:type="dxa"/>
            <w:left w:w="0" w:type="dxa"/>
            <w:bottom w:w="0" w:type="dxa"/>
            <w:right w:w="0" w:type="dxa"/>
          </w:tblCellMar>
        </w:tblPrEx>
        <w:trPr>
          <w:trHeight w:val="288" w:hRule="exact"/>
        </w:trPr>
        <w:tc>
          <w:tcPr>
            <w:tcW w:w="2855" w:type="dxa"/>
            <w:tcBorders>
              <w:top w:val="single" w:color="000000" w:sz="2" w:space="0"/>
              <w:left w:val="nil"/>
              <w:bottom w:val="single" w:color="000000" w:sz="2" w:space="0"/>
              <w:right w:val="single" w:color="000000" w:sz="2" w:space="0"/>
            </w:tcBorders>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等效直径</w:t>
            </w:r>
          </w:p>
        </w:tc>
        <w:tc>
          <w:tcPr>
            <w:tcW w:w="2844" w:type="dxa"/>
            <w:tcBorders>
              <w:top w:val="single" w:color="000000" w:sz="2" w:space="0"/>
              <w:left w:val="single" w:color="000000" w:sz="2" w:space="0"/>
              <w:bottom w:val="single" w:color="000000" w:sz="2" w:space="0"/>
              <w:right w:val="single" w:color="000000" w:sz="2" w:space="0"/>
            </w:tcBorders>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w w:val="99"/>
                <w:sz w:val="21"/>
                <w:szCs w:val="21"/>
              </w:rPr>
              <w:t>5</w:t>
            </w:r>
          </w:p>
        </w:tc>
        <w:tc>
          <w:tcPr>
            <w:tcW w:w="2840" w:type="dxa"/>
            <w:tcBorders>
              <w:top w:val="single" w:color="000000" w:sz="2" w:space="0"/>
              <w:left w:val="single" w:color="000000" w:sz="2" w:space="0"/>
              <w:bottom w:val="single" w:color="000000" w:sz="2" w:space="0"/>
              <w:right w:val="nil"/>
            </w:tcBorders>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w w:val="99"/>
                <w:sz w:val="21"/>
                <w:szCs w:val="21"/>
              </w:rPr>
              <w:t>m</w:t>
            </w:r>
          </w:p>
        </w:tc>
      </w:tr>
      <w:tr>
        <w:tblPrEx>
          <w:tblLayout w:type="fixed"/>
          <w:tblCellMar>
            <w:top w:w="0" w:type="dxa"/>
            <w:left w:w="0" w:type="dxa"/>
            <w:bottom w:w="0" w:type="dxa"/>
            <w:right w:w="0" w:type="dxa"/>
          </w:tblCellMar>
        </w:tblPrEx>
        <w:trPr>
          <w:trHeight w:val="281" w:hRule="exact"/>
        </w:trPr>
        <w:tc>
          <w:tcPr>
            <w:tcW w:w="2855" w:type="dxa"/>
            <w:tcBorders>
              <w:top w:val="single" w:color="000000" w:sz="2" w:space="0"/>
              <w:left w:val="nil"/>
              <w:bottom w:val="single" w:color="000000" w:sz="2" w:space="0"/>
              <w:right w:val="single" w:color="000000" w:sz="2" w:space="0"/>
            </w:tcBorders>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液池面积</w:t>
            </w:r>
          </w:p>
        </w:tc>
        <w:tc>
          <w:tcPr>
            <w:tcW w:w="2844" w:type="dxa"/>
            <w:tcBorders>
              <w:top w:val="single" w:color="000000" w:sz="2" w:space="0"/>
              <w:left w:val="single" w:color="000000" w:sz="2" w:space="0"/>
              <w:bottom w:val="single" w:color="000000" w:sz="2" w:space="0"/>
              <w:right w:val="single" w:color="000000" w:sz="2" w:space="0"/>
            </w:tcBorders>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19.6</w:t>
            </w:r>
          </w:p>
        </w:tc>
        <w:tc>
          <w:tcPr>
            <w:tcW w:w="2840" w:type="dxa"/>
            <w:tcBorders>
              <w:top w:val="single" w:color="000000" w:sz="2" w:space="0"/>
              <w:left w:val="single" w:color="000000" w:sz="2" w:space="0"/>
              <w:bottom w:val="single" w:color="000000" w:sz="2" w:space="0"/>
              <w:right w:val="nil"/>
            </w:tcBorders>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pacing w:val="-3"/>
                <w:position w:val="-10"/>
                <w:sz w:val="21"/>
                <w:szCs w:val="21"/>
              </w:rPr>
              <w:t>m</w:t>
            </w:r>
            <w:r>
              <w:rPr>
                <w:rFonts w:ascii="Times New Roman" w:hAnsi="Times New Roman" w:cs="Times New Roman"/>
                <w:spacing w:val="-3"/>
                <w:sz w:val="13"/>
                <w:szCs w:val="13"/>
              </w:rPr>
              <w:t>2</w:t>
            </w:r>
          </w:p>
        </w:tc>
      </w:tr>
      <w:tr>
        <w:tblPrEx>
          <w:tblLayout w:type="fixed"/>
          <w:tblCellMar>
            <w:top w:w="0" w:type="dxa"/>
            <w:left w:w="0" w:type="dxa"/>
            <w:bottom w:w="0" w:type="dxa"/>
            <w:right w:w="0" w:type="dxa"/>
          </w:tblCellMar>
        </w:tblPrEx>
        <w:trPr>
          <w:trHeight w:val="292" w:hRule="exact"/>
        </w:trPr>
        <w:tc>
          <w:tcPr>
            <w:tcW w:w="2855" w:type="dxa"/>
            <w:tcBorders>
              <w:top w:val="single" w:color="000000" w:sz="2" w:space="0"/>
              <w:left w:val="nil"/>
              <w:bottom w:val="single" w:color="000000" w:sz="10" w:space="0"/>
              <w:right w:val="single" w:color="000000" w:sz="2" w:space="0"/>
            </w:tcBorders>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时间</w:t>
            </w:r>
          </w:p>
        </w:tc>
        <w:tc>
          <w:tcPr>
            <w:tcW w:w="2844" w:type="dxa"/>
            <w:tcBorders>
              <w:top w:val="single" w:color="000000" w:sz="2" w:space="0"/>
              <w:left w:val="single" w:color="000000" w:sz="2" w:space="0"/>
              <w:bottom w:val="single" w:color="000000" w:sz="10" w:space="0"/>
              <w:right w:val="single" w:color="000000" w:sz="2" w:space="0"/>
            </w:tcBorders>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sz w:val="21"/>
                <w:szCs w:val="21"/>
              </w:rPr>
              <w:t>40</w:t>
            </w:r>
          </w:p>
        </w:tc>
        <w:tc>
          <w:tcPr>
            <w:tcW w:w="2840" w:type="dxa"/>
            <w:tcBorders>
              <w:top w:val="single" w:color="000000" w:sz="2" w:space="0"/>
              <w:left w:val="single" w:color="000000" w:sz="2" w:space="0"/>
              <w:bottom w:val="single" w:color="000000" w:sz="10" w:space="0"/>
              <w:right w:val="nil"/>
            </w:tcBorders>
            <w:vAlign w:val="center"/>
          </w:tcPr>
          <w:p>
            <w:pPr>
              <w:pStyle w:val="15"/>
              <w:kinsoku w:val="0"/>
              <w:overflowPunct w:val="0"/>
              <w:spacing w:line="240" w:lineRule="auto"/>
              <w:ind w:firstLine="0" w:firstLineChars="0"/>
              <w:jc w:val="center"/>
              <w:rPr>
                <w:rFonts w:ascii="Times New Roman" w:hAnsi="Times New Roman" w:cs="Times New Roman"/>
              </w:rPr>
            </w:pPr>
            <w:r>
              <w:rPr>
                <w:rFonts w:ascii="Times New Roman" w:hAnsi="Times New Roman" w:cs="Times New Roman"/>
                <w:w w:val="99"/>
                <w:sz w:val="21"/>
                <w:szCs w:val="21"/>
              </w:rPr>
              <w:t>s</w:t>
            </w:r>
          </w:p>
        </w:tc>
      </w:tr>
    </w:tbl>
    <w:p>
      <w:pPr>
        <w:pStyle w:val="5"/>
        <w:kinsoku w:val="0"/>
        <w:overflowPunct w:val="0"/>
        <w:spacing w:before="35" w:line="352" w:lineRule="auto"/>
        <w:ind w:left="239" w:right="187" w:firstLine="480"/>
        <w:rPr>
          <w:rFonts w:ascii="Times New Roman" w:hAnsi="Times New Roman" w:cs="Times New Roman"/>
        </w:rPr>
      </w:pPr>
      <w:r>
        <w:rPr>
          <w:rFonts w:ascii="Times New Roman" w:hAnsi="Times New Roman" w:cs="Times New Roman"/>
        </w:rPr>
        <w:t>以上物质中主要成分为 C、H、O，因此火灾爆炸产生的污染物主要为CO</w:t>
      </w:r>
      <w:r>
        <w:rPr>
          <w:rFonts w:ascii="Times New Roman" w:hAnsi="Times New Roman" w:cs="Times New Roman"/>
          <w:vertAlign w:val="subscript"/>
        </w:rPr>
        <w:t>2</w:t>
      </w:r>
      <w:r>
        <w:rPr>
          <w:rFonts w:ascii="Times New Roman" w:hAnsi="Times New Roman" w:cs="Times New Roman"/>
        </w:rPr>
        <w:t>和H</w:t>
      </w:r>
      <w:r>
        <w:rPr>
          <w:rFonts w:ascii="Times New Roman" w:hAnsi="Times New Roman" w:cs="Times New Roman"/>
          <w:vertAlign w:val="subscript"/>
        </w:rPr>
        <w:t>2</w:t>
      </w:r>
      <w:r>
        <w:rPr>
          <w:rFonts w:ascii="Times New Roman" w:hAnsi="Times New Roman" w:cs="Times New Roman"/>
        </w:rPr>
        <w:t>O，因此对火灾危险性的识别着重于辐射通量的计算。</w:t>
      </w:r>
    </w:p>
    <w:p>
      <w:pPr>
        <w:pStyle w:val="5"/>
        <w:kinsoku w:val="0"/>
        <w:overflowPunct w:val="0"/>
        <w:spacing w:before="35" w:line="352" w:lineRule="auto"/>
        <w:ind w:left="239" w:right="187" w:firstLine="480"/>
        <w:rPr>
          <w:rFonts w:ascii="Times New Roman" w:hAnsi="Times New Roman" w:cs="Times New Roman"/>
        </w:rPr>
      </w:pPr>
      <w:r>
        <w:rPr>
          <w:rFonts w:hint="eastAsia" w:hAnsi="宋体" w:eastAsia="宋体" w:cs="宋体"/>
        </w:rPr>
        <w:t>①</w:t>
      </w:r>
      <w:r>
        <w:rPr>
          <w:rFonts w:ascii="Times New Roman" w:hAnsi="Times New Roman" w:cs="Times New Roman"/>
        </w:rPr>
        <w:t xml:space="preserve">燃烧速率 </w:t>
      </w:r>
    </w:p>
    <w:p>
      <w:pPr>
        <w:pStyle w:val="5"/>
        <w:kinsoku w:val="0"/>
        <w:overflowPunct w:val="0"/>
        <w:spacing w:before="35" w:line="352" w:lineRule="auto"/>
        <w:ind w:left="239" w:right="187" w:firstLine="480"/>
        <w:rPr>
          <w:rFonts w:ascii="Times New Roman" w:hAnsi="Times New Roman" w:cs="Times New Roman"/>
        </w:rPr>
      </w:pPr>
      <w:r>
        <w:rPr>
          <w:rFonts w:ascii="Times New Roman" w:hAnsi="Times New Roman" w:cs="Times New Roman"/>
        </w:rPr>
        <w:t>下面是广泛采用的液体单位面积燃烧速率的计算公式。</w:t>
      </w:r>
    </w:p>
    <w:p>
      <w:pPr>
        <w:pStyle w:val="5"/>
        <w:kinsoku w:val="0"/>
        <w:overflowPunct w:val="0"/>
        <w:spacing w:before="35" w:line="352" w:lineRule="auto"/>
        <w:ind w:left="239" w:right="187" w:firstLine="480"/>
        <w:rPr>
          <w:rFonts w:ascii="Times New Roman" w:hAnsi="Times New Roman" w:cs="Times New Roman"/>
        </w:rPr>
      </w:pPr>
      <w:r>
        <w:rPr>
          <w:rFonts w:ascii="Times New Roman" w:hAnsi="Times New Roman" w:cs="Times New Roman"/>
        </w:rPr>
        <w:t>当液体沸点高于环境温度时：</w:t>
      </w:r>
    </w:p>
    <w:p>
      <w:pPr>
        <w:widowControl/>
        <w:spacing w:line="240" w:lineRule="auto"/>
        <w:ind w:firstLine="0" w:firstLineChars="0"/>
        <w:jc w:val="left"/>
        <w:rPr>
          <w:rFonts w:ascii="Times New Roman" w:hAnsi="Times New Roman" w:cs="Times New Roman"/>
          <w:kern w:val="0"/>
          <w:szCs w:val="24"/>
        </w:rPr>
      </w:pPr>
      <w:r>
        <w:rPr>
          <w:rFonts w:ascii="Times New Roman" w:hAnsi="Times New Roman" w:cs="Times New Roman"/>
          <w:kern w:val="0"/>
          <w:szCs w:val="24"/>
        </w:rPr>
        <w:fldChar w:fldCharType="begin"/>
      </w:r>
      <w:r>
        <w:rPr>
          <w:rFonts w:ascii="Times New Roman" w:hAnsi="Times New Roman" w:cs="Times New Roman"/>
          <w:kern w:val="0"/>
          <w:szCs w:val="24"/>
        </w:rPr>
        <w:instrText xml:space="preserve"> INCLUDEPICTURE "C:\\Users\\Administrator\\AppData\\Roaming\\Tencent\\Users\\532983636\\QQ\\WinTemp\\RichOle\\P$Q(6KQ[0EEX}O]C7]U~T@8.png" \* MERGEFORMATINET </w:instrText>
      </w:r>
      <w:r>
        <w:rPr>
          <w:rFonts w:ascii="Times New Roman" w:hAnsi="Times New Roman" w:cs="Times New Roman"/>
          <w:kern w:val="0"/>
          <w:szCs w:val="24"/>
        </w:rPr>
        <w:fldChar w:fldCharType="separate"/>
      </w:r>
      <w:r>
        <w:rPr>
          <w:rFonts w:ascii="Times New Roman" w:hAnsi="Times New Roman" w:cs="Times New Roman"/>
          <w:kern w:val="0"/>
          <w:szCs w:val="24"/>
        </w:rPr>
        <w:drawing>
          <wp:inline distT="0" distB="0" distL="114300" distR="114300">
            <wp:extent cx="4877435" cy="3475355"/>
            <wp:effectExtent l="0" t="0" r="18415" b="10795"/>
            <wp:docPr id="28" name="图片 44" descr="P$Q(6KQ[0EEX}O]C7]U~T@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44" descr="P$Q(6KQ[0EEX}O]C7]U~T@8"/>
                    <pic:cNvPicPr>
                      <a:picLocks noChangeAspect="1"/>
                    </pic:cNvPicPr>
                  </pic:nvPicPr>
                  <pic:blipFill>
                    <a:blip r:embed="rId55"/>
                    <a:stretch>
                      <a:fillRect/>
                    </a:stretch>
                  </pic:blipFill>
                  <pic:spPr>
                    <a:xfrm>
                      <a:off x="0" y="0"/>
                      <a:ext cx="4877435" cy="3475355"/>
                    </a:xfrm>
                    <a:prstGeom prst="rect">
                      <a:avLst/>
                    </a:prstGeom>
                    <a:noFill/>
                    <a:ln w="9525">
                      <a:noFill/>
                    </a:ln>
                  </pic:spPr>
                </pic:pic>
              </a:graphicData>
            </a:graphic>
          </wp:inline>
        </w:drawing>
      </w:r>
      <w:r>
        <w:rPr>
          <w:rFonts w:ascii="Times New Roman" w:hAnsi="Times New Roman" w:cs="Times New Roman"/>
          <w:kern w:val="0"/>
          <w:szCs w:val="24"/>
        </w:rPr>
        <w:fldChar w:fldCharType="end"/>
      </w:r>
    </w:p>
    <w:p>
      <w:pPr>
        <w:pStyle w:val="5"/>
        <w:numPr>
          <w:ilvl w:val="0"/>
          <w:numId w:val="2"/>
        </w:numPr>
        <w:kinsoku w:val="0"/>
        <w:overflowPunct w:val="0"/>
        <w:spacing w:line="286" w:lineRule="exact"/>
        <w:ind w:firstLineChars="0"/>
        <w:rPr>
          <w:rFonts w:ascii="Times New Roman" w:hAnsi="Times New Roman" w:cs="Times New Roman"/>
        </w:rPr>
      </w:pPr>
      <w:r>
        <w:rPr>
          <w:rFonts w:ascii="Times New Roman" w:hAnsi="Times New Roman" w:cs="Times New Roman"/>
          <w:w w:val="105"/>
        </w:rPr>
        <w:t>确定火焰高度</w:t>
      </w:r>
    </w:p>
    <w:p>
      <w:pPr>
        <w:pStyle w:val="5"/>
        <w:kinsoku w:val="0"/>
        <w:overflowPunct w:val="0"/>
        <w:spacing w:before="167" w:line="348" w:lineRule="auto"/>
        <w:ind w:firstLine="504"/>
        <w:rPr>
          <w:rFonts w:ascii="Times New Roman" w:hAnsi="Times New Roman" w:eastAsia="等线" w:cs="Times New Roman"/>
          <w:position w:val="1"/>
          <w:szCs w:val="24"/>
        </w:rPr>
      </w:pPr>
      <w:r>
        <w:rPr>
          <w:rFonts w:ascii="Times New Roman" w:hAnsi="Times New Roman" w:eastAsia="等线" w:cs="Times New Roman"/>
          <w:w w:val="105"/>
        </w:rPr>
        <w:t>Thomas</w:t>
      </w:r>
      <w:r>
        <w:rPr>
          <w:rFonts w:ascii="Times New Roman" w:hAnsi="Times New Roman" w:eastAsia="等线" w:cs="Times New Roman"/>
          <w:spacing w:val="-35"/>
          <w:w w:val="105"/>
        </w:rPr>
        <w:t xml:space="preserve"> </w:t>
      </w:r>
      <w:r>
        <w:rPr>
          <w:rFonts w:ascii="Times New Roman" w:hAnsi="Times New Roman" w:cs="Times New Roman"/>
          <w:w w:val="105"/>
        </w:rPr>
        <w:t>给出的计算池火焰高度的经验公式在文献中被广泛使用。</w:t>
      </w:r>
      <w:r>
        <w:rPr>
          <w:rFonts w:ascii="Times New Roman" w:hAnsi="Times New Roman" w:cs="Times New Roman"/>
          <w:spacing w:val="-100"/>
          <w:w w:val="105"/>
        </w:rPr>
        <w:t xml:space="preserve"> </w:t>
      </w:r>
      <w:r>
        <w:rPr>
          <w:rFonts w:ascii="Times New Roman" w:hAnsi="Times New Roman" w:cs="Times New Roman"/>
          <w:w w:val="105"/>
        </w:rPr>
        <w:t>为简化计</w:t>
      </w:r>
      <w:r>
        <w:rPr>
          <w:rFonts w:ascii="Times New Roman" w:hAnsi="Times New Roman" w:cs="Times New Roman"/>
          <w:w w:val="103"/>
        </w:rPr>
        <w:t xml:space="preserve"> </w:t>
      </w:r>
      <w:r>
        <w:rPr>
          <w:rFonts w:ascii="Times New Roman" w:hAnsi="Times New Roman" w:cs="Times New Roman"/>
          <w:w w:val="105"/>
        </w:rPr>
        <w:t>算，仅考虑无风时的情况：</w:t>
      </w:r>
    </w:p>
    <w:p>
      <w:pPr>
        <w:widowControl/>
        <w:spacing w:line="240" w:lineRule="auto"/>
        <w:ind w:firstLine="0" w:firstLineChars="0"/>
        <w:jc w:val="center"/>
        <w:rPr>
          <w:rFonts w:ascii="Times New Roman" w:hAnsi="Times New Roman" w:cs="Times New Roman"/>
          <w:kern w:val="0"/>
          <w:szCs w:val="24"/>
        </w:rPr>
      </w:pPr>
      <w:r>
        <w:rPr>
          <w:rFonts w:ascii="Times New Roman" w:hAnsi="Times New Roman" w:cs="Times New Roman"/>
          <w:kern w:val="0"/>
          <w:szCs w:val="24"/>
        </w:rPr>
        <w:fldChar w:fldCharType="begin"/>
      </w:r>
      <w:r>
        <w:rPr>
          <w:rFonts w:ascii="Times New Roman" w:hAnsi="Times New Roman" w:cs="Times New Roman"/>
          <w:kern w:val="0"/>
          <w:szCs w:val="24"/>
        </w:rPr>
        <w:instrText xml:space="preserve"> INCLUDEPICTURE "C:\\Users\\Administrator\\AppData\\Roaming\\Tencent\\Users\\532983636\\QQ\\WinTemp\\RichOle\\W}4X50W1WF91KF`RP}7LP7C.png" \* MERGEFORMATINET </w:instrText>
      </w:r>
      <w:r>
        <w:rPr>
          <w:rFonts w:ascii="Times New Roman" w:hAnsi="Times New Roman" w:cs="Times New Roman"/>
          <w:kern w:val="0"/>
          <w:szCs w:val="24"/>
        </w:rPr>
        <w:fldChar w:fldCharType="separate"/>
      </w:r>
      <w:r>
        <w:rPr>
          <w:rFonts w:ascii="Times New Roman" w:hAnsi="Times New Roman" w:cs="Times New Roman"/>
          <w:kern w:val="0"/>
          <w:szCs w:val="24"/>
        </w:rPr>
        <w:drawing>
          <wp:inline distT="0" distB="0" distL="114300" distR="114300">
            <wp:extent cx="4561840" cy="2057400"/>
            <wp:effectExtent l="0" t="0" r="10160" b="0"/>
            <wp:docPr id="161" name="图片 45" descr="W}4X50W1WF91KF`RP}7LP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45" descr="W}4X50W1WF91KF`RP}7LP7C"/>
                    <pic:cNvPicPr>
                      <a:picLocks noChangeAspect="1"/>
                    </pic:cNvPicPr>
                  </pic:nvPicPr>
                  <pic:blipFill>
                    <a:blip r:embed="rId56"/>
                    <a:stretch>
                      <a:fillRect/>
                    </a:stretch>
                  </pic:blipFill>
                  <pic:spPr>
                    <a:xfrm>
                      <a:off x="0" y="0"/>
                      <a:ext cx="4561840" cy="2057400"/>
                    </a:xfrm>
                    <a:prstGeom prst="rect">
                      <a:avLst/>
                    </a:prstGeom>
                    <a:noFill/>
                    <a:ln w="9525">
                      <a:noFill/>
                    </a:ln>
                  </pic:spPr>
                </pic:pic>
              </a:graphicData>
            </a:graphic>
          </wp:inline>
        </w:drawing>
      </w:r>
      <w:r>
        <w:rPr>
          <w:rFonts w:ascii="Times New Roman" w:hAnsi="Times New Roman" w:cs="Times New Roman"/>
          <w:kern w:val="0"/>
          <w:szCs w:val="24"/>
        </w:rPr>
        <w:fldChar w:fldCharType="end"/>
      </w:r>
    </w:p>
    <w:p>
      <w:pPr>
        <w:pStyle w:val="5"/>
        <w:kinsoku w:val="0"/>
        <w:overflowPunct w:val="0"/>
        <w:spacing w:before="30"/>
        <w:ind w:left="622" w:firstLine="503" w:firstLineChars="0"/>
        <w:rPr>
          <w:rFonts w:ascii="Times New Roman" w:hAnsi="Times New Roman" w:cs="Times New Roman"/>
        </w:rPr>
      </w:pPr>
      <w:r>
        <w:rPr>
          <w:rFonts w:hint="eastAsia" w:hAnsi="宋体" w:eastAsia="宋体" w:cs="宋体"/>
          <w:w w:val="105"/>
        </w:rPr>
        <w:t>④</w:t>
      </w:r>
      <w:r>
        <w:rPr>
          <w:rFonts w:ascii="Times New Roman" w:hAnsi="Times New Roman" w:cs="Times New Roman"/>
          <w:w w:val="105"/>
        </w:rPr>
        <w:t>火焰表面热通量的计算</w:t>
      </w:r>
    </w:p>
    <w:p>
      <w:pPr>
        <w:widowControl/>
        <w:spacing w:line="240" w:lineRule="auto"/>
        <w:ind w:firstLine="0" w:firstLineChars="0"/>
        <w:jc w:val="center"/>
        <w:rPr>
          <w:rFonts w:ascii="Times New Roman" w:hAnsi="Times New Roman" w:cs="Times New Roman"/>
          <w:kern w:val="0"/>
          <w:szCs w:val="24"/>
        </w:rPr>
      </w:pPr>
      <w:r>
        <w:rPr>
          <w:rFonts w:ascii="Times New Roman" w:hAnsi="Times New Roman" w:cs="Times New Roman"/>
          <w:kern w:val="0"/>
          <w:szCs w:val="24"/>
        </w:rPr>
        <w:fldChar w:fldCharType="begin"/>
      </w:r>
      <w:r>
        <w:rPr>
          <w:rFonts w:ascii="Times New Roman" w:hAnsi="Times New Roman" w:cs="Times New Roman"/>
          <w:kern w:val="0"/>
          <w:szCs w:val="24"/>
        </w:rPr>
        <w:instrText xml:space="preserve"> INCLUDEPICTURE "C:\\Users\\Administrator\\AppData\\Roaming\\Tencent\\Users\\532983636\\QQ\\WinTemp\\RichOle\\QCS45(]{K%]}M~8{N42CLY8.png" \* MERGEFORMATINET </w:instrText>
      </w:r>
      <w:r>
        <w:rPr>
          <w:rFonts w:ascii="Times New Roman" w:hAnsi="Times New Roman" w:cs="Times New Roman"/>
          <w:kern w:val="0"/>
          <w:szCs w:val="24"/>
        </w:rPr>
        <w:fldChar w:fldCharType="separate"/>
      </w:r>
      <w:r>
        <w:rPr>
          <w:rFonts w:ascii="Times New Roman" w:hAnsi="Times New Roman" w:cs="Times New Roman"/>
          <w:kern w:val="0"/>
          <w:szCs w:val="24"/>
        </w:rPr>
        <w:drawing>
          <wp:inline distT="0" distB="0" distL="114300" distR="114300">
            <wp:extent cx="4657725" cy="2477135"/>
            <wp:effectExtent l="0" t="0" r="9525" b="18415"/>
            <wp:docPr id="30" name="图片 46" descr="QCS45(]{K%]}M~8{N42CLY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46" descr="QCS45(]{K%]}M~8{N42CLY8"/>
                    <pic:cNvPicPr>
                      <a:picLocks noChangeAspect="1"/>
                    </pic:cNvPicPr>
                  </pic:nvPicPr>
                  <pic:blipFill>
                    <a:blip r:embed="rId57"/>
                    <a:stretch>
                      <a:fillRect/>
                    </a:stretch>
                  </pic:blipFill>
                  <pic:spPr>
                    <a:xfrm>
                      <a:off x="0" y="0"/>
                      <a:ext cx="4657725" cy="2477135"/>
                    </a:xfrm>
                    <a:prstGeom prst="rect">
                      <a:avLst/>
                    </a:prstGeom>
                    <a:noFill/>
                    <a:ln w="9525">
                      <a:noFill/>
                    </a:ln>
                  </pic:spPr>
                </pic:pic>
              </a:graphicData>
            </a:graphic>
          </wp:inline>
        </w:drawing>
      </w:r>
      <w:r>
        <w:rPr>
          <w:rFonts w:ascii="Times New Roman" w:hAnsi="Times New Roman" w:cs="Times New Roman"/>
          <w:kern w:val="0"/>
          <w:szCs w:val="24"/>
        </w:rPr>
        <w:fldChar w:fldCharType="end"/>
      </w:r>
    </w:p>
    <w:p>
      <w:pPr>
        <w:widowControl/>
        <w:spacing w:line="240" w:lineRule="auto"/>
        <w:ind w:firstLine="0" w:firstLineChars="0"/>
        <w:jc w:val="center"/>
        <w:rPr>
          <w:rFonts w:ascii="Times New Roman" w:hAnsi="Times New Roman" w:cs="Times New Roman"/>
          <w:kern w:val="0"/>
          <w:szCs w:val="24"/>
        </w:rPr>
      </w:pPr>
      <w:r>
        <w:rPr>
          <w:rFonts w:ascii="Times New Roman" w:hAnsi="Times New Roman" w:cs="Times New Roman"/>
          <w:kern w:val="0"/>
          <w:szCs w:val="24"/>
        </w:rPr>
        <w:fldChar w:fldCharType="begin"/>
      </w:r>
      <w:r>
        <w:rPr>
          <w:rFonts w:ascii="Times New Roman" w:hAnsi="Times New Roman" w:cs="Times New Roman"/>
          <w:kern w:val="0"/>
          <w:szCs w:val="24"/>
        </w:rPr>
        <w:instrText xml:space="preserve"> INCLUDEPICTURE "C:\\Users\\Administrator\\AppData\\Roaming\\Tencent\\Users\\532983636\\QQ\\WinTemp\\RichOle\\0B{Q{DD(AG266A{%`)JO(I1.png" \* MERGEFORMATINET </w:instrText>
      </w:r>
      <w:r>
        <w:rPr>
          <w:rFonts w:ascii="Times New Roman" w:hAnsi="Times New Roman" w:cs="Times New Roman"/>
          <w:kern w:val="0"/>
          <w:szCs w:val="24"/>
        </w:rPr>
        <w:fldChar w:fldCharType="separate"/>
      </w:r>
      <w:r>
        <w:rPr>
          <w:rFonts w:ascii="Times New Roman" w:hAnsi="Times New Roman" w:cs="Times New Roman"/>
          <w:kern w:val="0"/>
          <w:szCs w:val="24"/>
        </w:rPr>
        <w:drawing>
          <wp:inline distT="0" distB="0" distL="114300" distR="114300">
            <wp:extent cx="4087495" cy="2666365"/>
            <wp:effectExtent l="0" t="0" r="8255" b="635"/>
            <wp:docPr id="162" name="图片 47" descr="0B{Q{DD(AG266A{%`)JO(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47" descr="0B{Q{DD(AG266A{%`)JO(I1"/>
                    <pic:cNvPicPr>
                      <a:picLocks noChangeAspect="1"/>
                    </pic:cNvPicPr>
                  </pic:nvPicPr>
                  <pic:blipFill>
                    <a:blip r:embed="rId58"/>
                    <a:stretch>
                      <a:fillRect/>
                    </a:stretch>
                  </pic:blipFill>
                  <pic:spPr>
                    <a:xfrm>
                      <a:off x="0" y="0"/>
                      <a:ext cx="4087495" cy="2666365"/>
                    </a:xfrm>
                    <a:prstGeom prst="rect">
                      <a:avLst/>
                    </a:prstGeom>
                    <a:noFill/>
                    <a:ln w="9525">
                      <a:noFill/>
                    </a:ln>
                  </pic:spPr>
                </pic:pic>
              </a:graphicData>
            </a:graphic>
          </wp:inline>
        </w:drawing>
      </w:r>
      <w:r>
        <w:rPr>
          <w:rFonts w:ascii="Times New Roman" w:hAnsi="Times New Roman" w:cs="Times New Roman"/>
          <w:kern w:val="0"/>
          <w:szCs w:val="24"/>
        </w:rPr>
        <w:fldChar w:fldCharType="end"/>
      </w:r>
    </w:p>
    <w:p>
      <w:pPr>
        <w:pStyle w:val="5"/>
        <w:kinsoku w:val="0"/>
        <w:overflowPunct w:val="0"/>
        <w:spacing w:before="35" w:line="352" w:lineRule="auto"/>
        <w:ind w:left="239" w:right="187" w:firstLine="480"/>
        <w:rPr>
          <w:rFonts w:ascii="Times New Roman" w:hAnsi="Times New Roman" w:cs="Times New Roman"/>
        </w:rPr>
      </w:pPr>
      <w:r>
        <w:rPr>
          <w:rFonts w:ascii="Times New Roman" w:hAnsi="Times New Roman" w:cs="Times New Roman"/>
        </w:rPr>
        <w:t>当 Pr＝5 时，伤害百分率为 50%；</w:t>
      </w:r>
    </w:p>
    <w:p>
      <w:pPr>
        <w:pStyle w:val="5"/>
        <w:kinsoku w:val="0"/>
        <w:overflowPunct w:val="0"/>
        <w:spacing w:before="35" w:line="352" w:lineRule="auto"/>
        <w:ind w:left="239" w:right="187" w:firstLine="480"/>
        <w:rPr>
          <w:rFonts w:ascii="Times New Roman" w:hAnsi="Times New Roman" w:cs="Times New Roman"/>
        </w:rPr>
      </w:pPr>
      <w:r>
        <w:rPr>
          <w:rFonts w:ascii="Times New Roman" w:hAnsi="Times New Roman" w:cs="Times New Roman"/>
        </w:rPr>
        <w:t>有衣服保护时（20%皮肤裸露）的死亡概率：Pr = -37.23 + 2.56ln(tq4/3)；有衣服保护时（20%皮肤裸露）的二度烧伤概率：Pr = -43.14 + 3.0188ln(tq4/3)；有衣服保护时（20%皮肤裸露）的一度烧伤概率：Pr = -39.83 + 3.0188ln(tq4/3)；关于人暴露时间，对于池火，本评价取40s，此时间范围内，在较低热辐射能量下人可以逃生。根据人体接收的热辐射通量和暴露时间，按上面的公式计算伤害概率，在确定的暴露时间下，根据上面的公式计</w:t>
      </w:r>
      <w:r>
        <w:rPr>
          <w:rFonts w:ascii="Times New Roman" w:hAnsi="Times New Roman" w:cs="Times New Roman"/>
          <w:spacing w:val="-1"/>
        </w:rPr>
        <w:t>算热辐射通量，根据热辐射通量和距离的关</w:t>
      </w:r>
      <w:r>
        <w:rPr>
          <w:rFonts w:ascii="Times New Roman" w:hAnsi="Times New Roman" w:cs="Times New Roman"/>
          <w:w w:val="105"/>
        </w:rPr>
        <w:t>系算出距火源的距离，此距离即为相应的伤害距离。分析过程中通常都按</w:t>
      </w:r>
      <w:r>
        <w:rPr>
          <w:rFonts w:ascii="Times New Roman" w:hAnsi="Times New Roman" w:cs="Times New Roman"/>
          <w:spacing w:val="-94"/>
          <w:w w:val="105"/>
        </w:rPr>
        <w:t xml:space="preserve"> </w:t>
      </w:r>
      <w:r>
        <w:rPr>
          <w:rFonts w:ascii="Times New Roman" w:hAnsi="Times New Roman" w:cs="Times New Roman"/>
          <w:w w:val="105"/>
        </w:rPr>
        <w:t>50%伤害率计算，例如按</w:t>
      </w:r>
      <w:r>
        <w:rPr>
          <w:rFonts w:ascii="Times New Roman" w:hAnsi="Times New Roman" w:cs="Times New Roman"/>
          <w:spacing w:val="-94"/>
          <w:w w:val="105"/>
        </w:rPr>
        <w:t xml:space="preserve"> </w:t>
      </w:r>
      <w:r>
        <w:rPr>
          <w:rFonts w:ascii="Times New Roman" w:hAnsi="Times New Roman" w:cs="Times New Roman"/>
          <w:w w:val="105"/>
        </w:rPr>
        <w:t>50%死亡率划定出死亡范围，</w:t>
      </w:r>
      <w:r>
        <w:rPr>
          <w:rFonts w:ascii="Times New Roman" w:hAnsi="Times New Roman" w:cs="Times New Roman"/>
          <w:spacing w:val="-4"/>
        </w:rPr>
        <w:t>该范围表明范围内、外死亡人数各占一半，也可以认为死亡范围内人员全部死亡，</w:t>
      </w:r>
      <w:r>
        <w:rPr>
          <w:rFonts w:ascii="Times New Roman" w:hAnsi="Times New Roman" w:cs="Times New Roman"/>
          <w:w w:val="105"/>
        </w:rPr>
        <w:t>范围外无一人死亡，这样可以使问题简化。</w:t>
      </w:r>
    </w:p>
    <w:p>
      <w:pPr>
        <w:pStyle w:val="5"/>
        <w:kinsoku w:val="0"/>
        <w:overflowPunct w:val="0"/>
        <w:spacing w:before="42"/>
        <w:ind w:left="722" w:right="187" w:firstLine="503"/>
        <w:rPr>
          <w:rFonts w:ascii="Times New Roman" w:hAnsi="Times New Roman" w:cs="Times New Roman"/>
        </w:rPr>
      </w:pPr>
      <w:r>
        <w:rPr>
          <w:rFonts w:ascii="Times New Roman" w:hAnsi="Times New Roman" w:cs="Times New Roman"/>
          <w:w w:val="105"/>
        </w:rPr>
        <w:t>对于财产损失，可以按引燃木材所需热通量计算。</w:t>
      </w:r>
    </w:p>
    <w:p>
      <w:pPr>
        <w:pStyle w:val="5"/>
        <w:kinsoku w:val="0"/>
        <w:overflowPunct w:val="0"/>
        <w:spacing w:before="162"/>
        <w:ind w:left="472" w:firstLine="504"/>
        <w:jc w:val="center"/>
        <w:rPr>
          <w:rFonts w:ascii="Times New Roman" w:hAnsi="Times New Roman" w:eastAsia="等线" w:cs="Times New Roman"/>
        </w:rPr>
      </w:pPr>
      <w:r>
        <w:rPr>
          <w:rFonts w:ascii="Times New Roman" w:hAnsi="Times New Roman" w:eastAsia="等线" w:cs="Times New Roman"/>
          <w:w w:val="105"/>
        </w:rPr>
        <w:t>Q=6730t</w:t>
      </w:r>
      <w:r>
        <w:rPr>
          <w:rFonts w:ascii="Times New Roman" w:hAnsi="Times New Roman" w:eastAsia="等线" w:cs="Times New Roman"/>
          <w:w w:val="105"/>
          <w:position w:val="11"/>
          <w:sz w:val="16"/>
          <w:szCs w:val="16"/>
        </w:rPr>
        <w:t xml:space="preserve">-4/5 </w:t>
      </w:r>
      <w:r>
        <w:rPr>
          <w:rFonts w:ascii="Times New Roman" w:hAnsi="Times New Roman" w:eastAsia="等线" w:cs="Times New Roman"/>
          <w:w w:val="105"/>
        </w:rPr>
        <w:t>+</w:t>
      </w:r>
      <w:r>
        <w:rPr>
          <w:rFonts w:ascii="Times New Roman" w:hAnsi="Times New Roman" w:eastAsia="等线" w:cs="Times New Roman"/>
          <w:spacing w:val="-8"/>
          <w:w w:val="105"/>
        </w:rPr>
        <w:t xml:space="preserve"> </w:t>
      </w:r>
      <w:r>
        <w:rPr>
          <w:rFonts w:ascii="Times New Roman" w:hAnsi="Times New Roman" w:eastAsia="等线" w:cs="Times New Roman"/>
          <w:w w:val="105"/>
        </w:rPr>
        <w:t>25400</w:t>
      </w:r>
    </w:p>
    <w:p>
      <w:pPr>
        <w:pStyle w:val="5"/>
        <w:kinsoku w:val="0"/>
        <w:overflowPunct w:val="0"/>
        <w:spacing w:before="35" w:line="352" w:lineRule="auto"/>
        <w:ind w:left="239" w:right="187" w:firstLine="480"/>
        <w:rPr>
          <w:rFonts w:ascii="Times New Roman" w:hAnsi="Times New Roman" w:cs="Times New Roman"/>
        </w:rPr>
      </w:pPr>
      <w:r>
        <w:rPr>
          <w:rFonts w:ascii="Times New Roman" w:hAnsi="Times New Roman" w:cs="Times New Roman"/>
        </w:rPr>
        <w:t>暴露时间一般取燃烧持续时间。 按前面所确定的池火灾源项进行计算，火灾灾害评估结果见表3.2-2。</w:t>
      </w:r>
    </w:p>
    <w:p>
      <w:pPr>
        <w:snapToGrid w:val="0"/>
        <w:spacing w:line="560" w:lineRule="exact"/>
        <w:ind w:firstLine="480" w:firstLineChars="0"/>
        <w:jc w:val="center"/>
        <w:rPr>
          <w:rFonts w:ascii="Times New Roman" w:hAnsi="Times New Roman" w:eastAsia="黑体" w:cs="Times New Roman"/>
          <w:snapToGrid w:val="0"/>
          <w:kern w:val="0"/>
          <w:szCs w:val="24"/>
        </w:rPr>
      </w:pPr>
      <w:r>
        <w:rPr>
          <w:rFonts w:ascii="Times New Roman" w:hAnsi="Times New Roman" w:eastAsia="黑体" w:cs="Times New Roman"/>
          <w:snapToGrid w:val="0"/>
          <w:kern w:val="0"/>
          <w:szCs w:val="24"/>
        </w:rPr>
        <w:t>电解液火灾爆炸灾害损坏估算结果表</w:t>
      </w:r>
    </w:p>
    <w:p>
      <w:pPr>
        <w:snapToGrid w:val="0"/>
        <w:spacing w:line="0" w:lineRule="atLeast"/>
        <w:ind w:firstLine="0" w:firstLineChars="0"/>
        <w:jc w:val="left"/>
        <w:rPr>
          <w:rFonts w:ascii="Times New Roman" w:hAnsi="Times New Roman" w:cs="Times New Roman"/>
          <w:snapToGrid w:val="0"/>
          <w:kern w:val="0"/>
          <w:sz w:val="21"/>
          <w:szCs w:val="24"/>
        </w:rPr>
      </w:pPr>
      <w:r>
        <w:rPr>
          <w:rFonts w:ascii="Times New Roman" w:hAnsi="Times New Roman" w:cs="Times New Roman"/>
          <w:snapToGrid w:val="0"/>
          <w:kern w:val="0"/>
          <w:sz w:val="21"/>
          <w:szCs w:val="24"/>
        </w:rPr>
        <w:t xml:space="preserve">表3.2-2 </w:t>
      </w:r>
    </w:p>
    <w:tbl>
      <w:tblPr>
        <w:tblStyle w:val="11"/>
        <w:tblW w:w="8539" w:type="dxa"/>
        <w:tblInd w:w="103" w:type="dxa"/>
        <w:tblLayout w:type="fixed"/>
        <w:tblCellMar>
          <w:top w:w="0" w:type="dxa"/>
          <w:left w:w="0" w:type="dxa"/>
          <w:bottom w:w="0" w:type="dxa"/>
          <w:right w:w="0" w:type="dxa"/>
        </w:tblCellMar>
      </w:tblPr>
      <w:tblGrid>
        <w:gridCol w:w="810"/>
        <w:gridCol w:w="2592"/>
        <w:gridCol w:w="1613"/>
        <w:gridCol w:w="3524"/>
      </w:tblGrid>
      <w:tr>
        <w:tblPrEx>
          <w:tblLayout w:type="fixed"/>
          <w:tblCellMar>
            <w:top w:w="0" w:type="dxa"/>
            <w:left w:w="0" w:type="dxa"/>
            <w:bottom w:w="0" w:type="dxa"/>
            <w:right w:w="0" w:type="dxa"/>
          </w:tblCellMar>
        </w:tblPrEx>
        <w:trPr>
          <w:trHeight w:val="443" w:hRule="exact"/>
        </w:trPr>
        <w:tc>
          <w:tcPr>
            <w:tcW w:w="810" w:type="dxa"/>
            <w:tcBorders>
              <w:top w:val="single" w:color="000000" w:sz="10" w:space="0"/>
              <w:left w:val="nil"/>
              <w:bottom w:val="single" w:color="000000" w:sz="2" w:space="0"/>
              <w:right w:val="single" w:color="000000" w:sz="2"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序号</w:t>
            </w:r>
          </w:p>
        </w:tc>
        <w:tc>
          <w:tcPr>
            <w:tcW w:w="2592" w:type="dxa"/>
            <w:tcBorders>
              <w:top w:val="single" w:color="000000" w:sz="10" w:space="0"/>
              <w:left w:val="single" w:color="000000" w:sz="2" w:space="0"/>
              <w:bottom w:val="single" w:color="000000" w:sz="2" w:space="0"/>
              <w:right w:val="single" w:color="000000" w:sz="2"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损伤半径</w:t>
            </w:r>
          </w:p>
        </w:tc>
        <w:tc>
          <w:tcPr>
            <w:tcW w:w="1613" w:type="dxa"/>
            <w:tcBorders>
              <w:top w:val="single" w:color="000000" w:sz="10" w:space="0"/>
              <w:left w:val="single" w:color="000000" w:sz="2" w:space="0"/>
              <w:bottom w:val="single" w:color="000000" w:sz="2" w:space="0"/>
              <w:right w:val="single" w:color="000000" w:sz="2"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单位</w:t>
            </w:r>
          </w:p>
        </w:tc>
        <w:tc>
          <w:tcPr>
            <w:tcW w:w="3524" w:type="dxa"/>
            <w:tcBorders>
              <w:top w:val="single" w:color="000000" w:sz="10" w:space="0"/>
              <w:left w:val="single" w:color="000000" w:sz="2" w:space="0"/>
              <w:bottom w:val="single" w:color="000000" w:sz="2" w:space="0"/>
              <w:right w:val="nil"/>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电解液危害值</w:t>
            </w:r>
          </w:p>
        </w:tc>
      </w:tr>
      <w:tr>
        <w:tblPrEx>
          <w:tblLayout w:type="fixed"/>
          <w:tblCellMar>
            <w:top w:w="0" w:type="dxa"/>
            <w:left w:w="0" w:type="dxa"/>
            <w:bottom w:w="0" w:type="dxa"/>
            <w:right w:w="0" w:type="dxa"/>
          </w:tblCellMar>
        </w:tblPrEx>
        <w:trPr>
          <w:trHeight w:val="281" w:hRule="exact"/>
        </w:trPr>
        <w:tc>
          <w:tcPr>
            <w:tcW w:w="810" w:type="dxa"/>
            <w:tcBorders>
              <w:top w:val="single" w:color="000000" w:sz="2" w:space="0"/>
              <w:left w:val="nil"/>
              <w:bottom w:val="single" w:color="000000" w:sz="2" w:space="0"/>
              <w:right w:val="single" w:color="000000" w:sz="2"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1</w:t>
            </w:r>
          </w:p>
        </w:tc>
        <w:tc>
          <w:tcPr>
            <w:tcW w:w="2592" w:type="dxa"/>
            <w:tcBorders>
              <w:top w:val="single" w:color="000000" w:sz="2" w:space="0"/>
              <w:left w:val="single" w:color="000000" w:sz="2" w:space="0"/>
              <w:bottom w:val="single" w:color="000000" w:sz="2" w:space="0"/>
              <w:right w:val="single" w:color="000000" w:sz="2"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燃烧速率</w:t>
            </w:r>
          </w:p>
        </w:tc>
        <w:tc>
          <w:tcPr>
            <w:tcW w:w="1613" w:type="dxa"/>
            <w:tcBorders>
              <w:top w:val="single" w:color="000000" w:sz="2" w:space="0"/>
              <w:left w:val="single" w:color="000000" w:sz="2" w:space="0"/>
              <w:bottom w:val="single" w:color="000000" w:sz="2" w:space="0"/>
              <w:right w:val="single" w:color="000000" w:sz="2"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kg/(m</w:t>
            </w:r>
            <w:r>
              <w:rPr>
                <w:rFonts w:ascii="Times New Roman" w:hAnsi="Times New Roman" w:cs="Times New Roman"/>
                <w:bCs/>
                <w:kern w:val="0"/>
                <w:sz w:val="21"/>
                <w:vertAlign w:val="superscript"/>
              </w:rPr>
              <w:t>2</w:t>
            </w:r>
            <w:r>
              <w:rPr>
                <w:rFonts w:ascii="Times New Roman" w:hAnsi="Times New Roman" w:cs="Times New Roman"/>
                <w:bCs/>
                <w:kern w:val="0"/>
                <w:sz w:val="21"/>
              </w:rPr>
              <w:t>·s)</w:t>
            </w:r>
          </w:p>
        </w:tc>
        <w:tc>
          <w:tcPr>
            <w:tcW w:w="3524" w:type="dxa"/>
            <w:tcBorders>
              <w:top w:val="single" w:color="000000" w:sz="2" w:space="0"/>
              <w:left w:val="single" w:color="000000" w:sz="2" w:space="0"/>
              <w:bottom w:val="single" w:color="000000" w:sz="2" w:space="0"/>
              <w:right w:val="nil"/>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0.38736</w:t>
            </w:r>
          </w:p>
        </w:tc>
      </w:tr>
      <w:tr>
        <w:tblPrEx>
          <w:tblLayout w:type="fixed"/>
          <w:tblCellMar>
            <w:top w:w="0" w:type="dxa"/>
            <w:left w:w="0" w:type="dxa"/>
            <w:bottom w:w="0" w:type="dxa"/>
            <w:right w:w="0" w:type="dxa"/>
          </w:tblCellMar>
        </w:tblPrEx>
        <w:trPr>
          <w:trHeight w:val="281" w:hRule="exact"/>
        </w:trPr>
        <w:tc>
          <w:tcPr>
            <w:tcW w:w="810" w:type="dxa"/>
            <w:tcBorders>
              <w:top w:val="single" w:color="000000" w:sz="2" w:space="0"/>
              <w:left w:val="nil"/>
              <w:bottom w:val="single" w:color="000000" w:sz="2" w:space="0"/>
              <w:right w:val="single" w:color="000000" w:sz="2"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2</w:t>
            </w:r>
          </w:p>
        </w:tc>
        <w:tc>
          <w:tcPr>
            <w:tcW w:w="2592" w:type="dxa"/>
            <w:tcBorders>
              <w:top w:val="single" w:color="000000" w:sz="2" w:space="0"/>
              <w:left w:val="single" w:color="000000" w:sz="2" w:space="0"/>
              <w:bottom w:val="single" w:color="000000" w:sz="2" w:space="0"/>
              <w:right w:val="single" w:color="000000" w:sz="2"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持续时间</w:t>
            </w:r>
          </w:p>
        </w:tc>
        <w:tc>
          <w:tcPr>
            <w:tcW w:w="1613" w:type="dxa"/>
            <w:tcBorders>
              <w:top w:val="single" w:color="000000" w:sz="2" w:space="0"/>
              <w:left w:val="single" w:color="000000" w:sz="2" w:space="0"/>
              <w:bottom w:val="single" w:color="000000" w:sz="2" w:space="0"/>
              <w:right w:val="single" w:color="000000" w:sz="2"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s</w:t>
            </w:r>
          </w:p>
        </w:tc>
        <w:tc>
          <w:tcPr>
            <w:tcW w:w="3524" w:type="dxa"/>
            <w:tcBorders>
              <w:top w:val="single" w:color="000000" w:sz="2" w:space="0"/>
              <w:left w:val="single" w:color="000000" w:sz="2" w:space="0"/>
              <w:bottom w:val="single" w:color="000000" w:sz="2" w:space="0"/>
              <w:right w:val="nil"/>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26.3</w:t>
            </w:r>
          </w:p>
        </w:tc>
      </w:tr>
      <w:tr>
        <w:tblPrEx>
          <w:tblLayout w:type="fixed"/>
          <w:tblCellMar>
            <w:top w:w="0" w:type="dxa"/>
            <w:left w:w="0" w:type="dxa"/>
            <w:bottom w:w="0" w:type="dxa"/>
            <w:right w:w="0" w:type="dxa"/>
          </w:tblCellMar>
        </w:tblPrEx>
        <w:trPr>
          <w:trHeight w:val="288" w:hRule="exact"/>
        </w:trPr>
        <w:tc>
          <w:tcPr>
            <w:tcW w:w="810" w:type="dxa"/>
            <w:tcBorders>
              <w:top w:val="single" w:color="000000" w:sz="2" w:space="0"/>
              <w:left w:val="nil"/>
              <w:bottom w:val="single" w:color="000000" w:sz="2" w:space="0"/>
              <w:right w:val="single" w:color="000000" w:sz="2"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3</w:t>
            </w:r>
          </w:p>
        </w:tc>
        <w:tc>
          <w:tcPr>
            <w:tcW w:w="2592" w:type="dxa"/>
            <w:tcBorders>
              <w:top w:val="single" w:color="000000" w:sz="2" w:space="0"/>
              <w:left w:val="single" w:color="000000" w:sz="2" w:space="0"/>
              <w:bottom w:val="single" w:color="000000" w:sz="2" w:space="0"/>
              <w:right w:val="single" w:color="000000" w:sz="2"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火焰高度</w:t>
            </w:r>
          </w:p>
        </w:tc>
        <w:tc>
          <w:tcPr>
            <w:tcW w:w="1613" w:type="dxa"/>
            <w:tcBorders>
              <w:top w:val="single" w:color="000000" w:sz="2" w:space="0"/>
              <w:left w:val="single" w:color="000000" w:sz="2" w:space="0"/>
              <w:bottom w:val="single" w:color="000000" w:sz="2" w:space="0"/>
              <w:right w:val="single" w:color="000000" w:sz="2"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m</w:t>
            </w:r>
          </w:p>
        </w:tc>
        <w:tc>
          <w:tcPr>
            <w:tcW w:w="3524" w:type="dxa"/>
            <w:tcBorders>
              <w:top w:val="single" w:color="000000" w:sz="2" w:space="0"/>
              <w:left w:val="single" w:color="000000" w:sz="2" w:space="0"/>
              <w:bottom w:val="single" w:color="000000" w:sz="2" w:space="0"/>
              <w:right w:val="nil"/>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30.8</w:t>
            </w:r>
          </w:p>
        </w:tc>
      </w:tr>
      <w:tr>
        <w:tblPrEx>
          <w:tblLayout w:type="fixed"/>
          <w:tblCellMar>
            <w:top w:w="0" w:type="dxa"/>
            <w:left w:w="0" w:type="dxa"/>
            <w:bottom w:w="0" w:type="dxa"/>
            <w:right w:w="0" w:type="dxa"/>
          </w:tblCellMar>
        </w:tblPrEx>
        <w:trPr>
          <w:trHeight w:val="281" w:hRule="exact"/>
        </w:trPr>
        <w:tc>
          <w:tcPr>
            <w:tcW w:w="810" w:type="dxa"/>
            <w:tcBorders>
              <w:top w:val="single" w:color="000000" w:sz="2" w:space="0"/>
              <w:left w:val="nil"/>
              <w:bottom w:val="single" w:color="000000" w:sz="2" w:space="0"/>
              <w:right w:val="single" w:color="000000" w:sz="2"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4</w:t>
            </w:r>
          </w:p>
        </w:tc>
        <w:tc>
          <w:tcPr>
            <w:tcW w:w="2592" w:type="dxa"/>
            <w:tcBorders>
              <w:top w:val="single" w:color="000000" w:sz="2" w:space="0"/>
              <w:left w:val="single" w:color="000000" w:sz="2" w:space="0"/>
              <w:bottom w:val="single" w:color="000000" w:sz="2" w:space="0"/>
              <w:right w:val="single" w:color="000000" w:sz="2"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表面热辐射通量</w:t>
            </w:r>
          </w:p>
        </w:tc>
        <w:tc>
          <w:tcPr>
            <w:tcW w:w="1613" w:type="dxa"/>
            <w:tcBorders>
              <w:top w:val="single" w:color="000000" w:sz="2" w:space="0"/>
              <w:left w:val="single" w:color="000000" w:sz="2" w:space="0"/>
              <w:bottom w:val="single" w:color="000000" w:sz="2" w:space="0"/>
              <w:right w:val="single" w:color="000000" w:sz="2"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W/m</w:t>
            </w:r>
            <w:r>
              <w:rPr>
                <w:rFonts w:ascii="Times New Roman" w:hAnsi="Times New Roman" w:cs="Times New Roman"/>
                <w:bCs/>
                <w:kern w:val="0"/>
                <w:sz w:val="21"/>
                <w:vertAlign w:val="superscript"/>
              </w:rPr>
              <w:t>2</w:t>
            </w:r>
          </w:p>
        </w:tc>
        <w:tc>
          <w:tcPr>
            <w:tcW w:w="3524" w:type="dxa"/>
            <w:tcBorders>
              <w:top w:val="single" w:color="000000" w:sz="2" w:space="0"/>
              <w:left w:val="single" w:color="000000" w:sz="2" w:space="0"/>
              <w:bottom w:val="single" w:color="000000" w:sz="2" w:space="0"/>
              <w:right w:val="nil"/>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66198.5</w:t>
            </w:r>
          </w:p>
        </w:tc>
      </w:tr>
      <w:tr>
        <w:tblPrEx>
          <w:tblLayout w:type="fixed"/>
          <w:tblCellMar>
            <w:top w:w="0" w:type="dxa"/>
            <w:left w:w="0" w:type="dxa"/>
            <w:bottom w:w="0" w:type="dxa"/>
            <w:right w:w="0" w:type="dxa"/>
          </w:tblCellMar>
        </w:tblPrEx>
        <w:trPr>
          <w:trHeight w:val="288" w:hRule="exact"/>
        </w:trPr>
        <w:tc>
          <w:tcPr>
            <w:tcW w:w="810" w:type="dxa"/>
            <w:tcBorders>
              <w:top w:val="single" w:color="000000" w:sz="2" w:space="0"/>
              <w:left w:val="nil"/>
              <w:bottom w:val="single" w:color="000000" w:sz="2" w:space="0"/>
              <w:right w:val="single" w:color="000000" w:sz="2"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5</w:t>
            </w:r>
          </w:p>
        </w:tc>
        <w:tc>
          <w:tcPr>
            <w:tcW w:w="2592" w:type="dxa"/>
            <w:tcBorders>
              <w:top w:val="single" w:color="000000" w:sz="2" w:space="0"/>
              <w:left w:val="single" w:color="000000" w:sz="2" w:space="0"/>
              <w:bottom w:val="single" w:color="000000" w:sz="2" w:space="0"/>
              <w:right w:val="single" w:color="000000" w:sz="2"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死亡半径</w:t>
            </w:r>
          </w:p>
        </w:tc>
        <w:tc>
          <w:tcPr>
            <w:tcW w:w="1613" w:type="dxa"/>
            <w:tcBorders>
              <w:top w:val="single" w:color="000000" w:sz="2" w:space="0"/>
              <w:left w:val="single" w:color="000000" w:sz="2" w:space="0"/>
              <w:bottom w:val="single" w:color="000000" w:sz="2" w:space="0"/>
              <w:right w:val="single" w:color="000000" w:sz="2"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m</w:t>
            </w:r>
          </w:p>
        </w:tc>
        <w:tc>
          <w:tcPr>
            <w:tcW w:w="3524" w:type="dxa"/>
            <w:tcBorders>
              <w:top w:val="single" w:color="000000" w:sz="2" w:space="0"/>
              <w:left w:val="single" w:color="000000" w:sz="2" w:space="0"/>
              <w:bottom w:val="single" w:color="000000" w:sz="2" w:space="0"/>
              <w:right w:val="nil"/>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5.9</w:t>
            </w:r>
          </w:p>
        </w:tc>
      </w:tr>
      <w:tr>
        <w:tblPrEx>
          <w:tblLayout w:type="fixed"/>
          <w:tblCellMar>
            <w:top w:w="0" w:type="dxa"/>
            <w:left w:w="0" w:type="dxa"/>
            <w:bottom w:w="0" w:type="dxa"/>
            <w:right w:w="0" w:type="dxa"/>
          </w:tblCellMar>
        </w:tblPrEx>
        <w:trPr>
          <w:trHeight w:val="281" w:hRule="exact"/>
        </w:trPr>
        <w:tc>
          <w:tcPr>
            <w:tcW w:w="810" w:type="dxa"/>
            <w:tcBorders>
              <w:top w:val="single" w:color="000000" w:sz="2" w:space="0"/>
              <w:left w:val="nil"/>
              <w:bottom w:val="single" w:color="000000" w:sz="2" w:space="0"/>
              <w:right w:val="single" w:color="000000" w:sz="2"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6</w:t>
            </w:r>
          </w:p>
        </w:tc>
        <w:tc>
          <w:tcPr>
            <w:tcW w:w="2592" w:type="dxa"/>
            <w:tcBorders>
              <w:top w:val="single" w:color="000000" w:sz="2" w:space="0"/>
              <w:left w:val="single" w:color="000000" w:sz="2" w:space="0"/>
              <w:bottom w:val="single" w:color="000000" w:sz="2" w:space="0"/>
              <w:right w:val="single" w:color="000000" w:sz="2"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重伤半径</w:t>
            </w:r>
          </w:p>
        </w:tc>
        <w:tc>
          <w:tcPr>
            <w:tcW w:w="1613" w:type="dxa"/>
            <w:tcBorders>
              <w:top w:val="single" w:color="000000" w:sz="2" w:space="0"/>
              <w:left w:val="single" w:color="000000" w:sz="2" w:space="0"/>
              <w:bottom w:val="single" w:color="000000" w:sz="2" w:space="0"/>
              <w:right w:val="single" w:color="000000" w:sz="2"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m</w:t>
            </w:r>
          </w:p>
        </w:tc>
        <w:tc>
          <w:tcPr>
            <w:tcW w:w="3524" w:type="dxa"/>
            <w:tcBorders>
              <w:top w:val="single" w:color="000000" w:sz="2" w:space="0"/>
              <w:left w:val="single" w:color="000000" w:sz="2" w:space="0"/>
              <w:bottom w:val="single" w:color="000000" w:sz="2" w:space="0"/>
              <w:right w:val="nil"/>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8.3</w:t>
            </w:r>
          </w:p>
        </w:tc>
      </w:tr>
      <w:tr>
        <w:tblPrEx>
          <w:tblLayout w:type="fixed"/>
          <w:tblCellMar>
            <w:top w:w="0" w:type="dxa"/>
            <w:left w:w="0" w:type="dxa"/>
            <w:bottom w:w="0" w:type="dxa"/>
            <w:right w:w="0" w:type="dxa"/>
          </w:tblCellMar>
        </w:tblPrEx>
        <w:trPr>
          <w:trHeight w:val="302" w:hRule="exact"/>
        </w:trPr>
        <w:tc>
          <w:tcPr>
            <w:tcW w:w="810" w:type="dxa"/>
            <w:tcBorders>
              <w:top w:val="single" w:color="000000" w:sz="2" w:space="0"/>
              <w:left w:val="nil"/>
              <w:bottom w:val="single" w:color="000000" w:sz="2" w:space="0"/>
              <w:right w:val="single" w:color="000000" w:sz="2"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7</w:t>
            </w:r>
          </w:p>
        </w:tc>
        <w:tc>
          <w:tcPr>
            <w:tcW w:w="2592" w:type="dxa"/>
            <w:tcBorders>
              <w:top w:val="single" w:color="000000" w:sz="2" w:space="0"/>
              <w:left w:val="single" w:color="000000" w:sz="2" w:space="0"/>
              <w:bottom w:val="single" w:color="000000" w:sz="2" w:space="0"/>
              <w:right w:val="single" w:color="000000" w:sz="2"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轻伤半径</w:t>
            </w:r>
          </w:p>
        </w:tc>
        <w:tc>
          <w:tcPr>
            <w:tcW w:w="1613" w:type="dxa"/>
            <w:tcBorders>
              <w:top w:val="single" w:color="000000" w:sz="2" w:space="0"/>
              <w:left w:val="single" w:color="000000" w:sz="2" w:space="0"/>
              <w:bottom w:val="single" w:color="000000" w:sz="2" w:space="0"/>
              <w:right w:val="single" w:color="000000" w:sz="2"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m</w:t>
            </w:r>
          </w:p>
        </w:tc>
        <w:tc>
          <w:tcPr>
            <w:tcW w:w="3524" w:type="dxa"/>
            <w:tcBorders>
              <w:top w:val="single" w:color="000000" w:sz="2" w:space="0"/>
              <w:left w:val="single" w:color="000000" w:sz="2" w:space="0"/>
              <w:bottom w:val="single" w:color="000000" w:sz="2" w:space="0"/>
              <w:right w:val="nil"/>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15.2</w:t>
            </w:r>
          </w:p>
        </w:tc>
      </w:tr>
      <w:tr>
        <w:tblPrEx>
          <w:tblLayout w:type="fixed"/>
          <w:tblCellMar>
            <w:top w:w="0" w:type="dxa"/>
            <w:left w:w="0" w:type="dxa"/>
            <w:bottom w:w="0" w:type="dxa"/>
            <w:right w:w="0" w:type="dxa"/>
          </w:tblCellMar>
        </w:tblPrEx>
        <w:trPr>
          <w:trHeight w:val="299" w:hRule="exact"/>
        </w:trPr>
        <w:tc>
          <w:tcPr>
            <w:tcW w:w="810" w:type="dxa"/>
            <w:tcBorders>
              <w:top w:val="single" w:color="000000" w:sz="2" w:space="0"/>
              <w:left w:val="nil"/>
              <w:bottom w:val="single" w:color="000000" w:sz="10" w:space="0"/>
              <w:right w:val="single" w:color="000000" w:sz="2"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8</w:t>
            </w:r>
          </w:p>
        </w:tc>
        <w:tc>
          <w:tcPr>
            <w:tcW w:w="2592" w:type="dxa"/>
            <w:tcBorders>
              <w:top w:val="single" w:color="000000" w:sz="2" w:space="0"/>
              <w:left w:val="single" w:color="000000" w:sz="2" w:space="0"/>
              <w:bottom w:val="single" w:color="000000" w:sz="10" w:space="0"/>
              <w:right w:val="single" w:color="000000" w:sz="2"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财产损失半径</w:t>
            </w:r>
          </w:p>
        </w:tc>
        <w:tc>
          <w:tcPr>
            <w:tcW w:w="1613" w:type="dxa"/>
            <w:tcBorders>
              <w:top w:val="single" w:color="000000" w:sz="2" w:space="0"/>
              <w:left w:val="single" w:color="000000" w:sz="2" w:space="0"/>
              <w:bottom w:val="single" w:color="000000" w:sz="10" w:space="0"/>
              <w:right w:val="single" w:color="000000" w:sz="2" w:space="0"/>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m</w:t>
            </w:r>
          </w:p>
        </w:tc>
        <w:tc>
          <w:tcPr>
            <w:tcW w:w="3524" w:type="dxa"/>
            <w:tcBorders>
              <w:top w:val="single" w:color="000000" w:sz="2" w:space="0"/>
              <w:left w:val="single" w:color="000000" w:sz="2" w:space="0"/>
              <w:bottom w:val="single" w:color="000000" w:sz="10" w:space="0"/>
              <w:right w:val="nil"/>
            </w:tcBorders>
            <w:vAlign w:val="center"/>
          </w:tcPr>
          <w:p>
            <w:pPr>
              <w:spacing w:line="240" w:lineRule="exact"/>
              <w:ind w:firstLine="0" w:firstLineChars="0"/>
              <w:jc w:val="center"/>
              <w:rPr>
                <w:rFonts w:ascii="Times New Roman" w:hAnsi="Times New Roman" w:cs="Times New Roman"/>
                <w:bCs/>
                <w:kern w:val="0"/>
                <w:sz w:val="21"/>
              </w:rPr>
            </w:pPr>
            <w:r>
              <w:rPr>
                <w:rFonts w:ascii="Times New Roman" w:hAnsi="Times New Roman" w:cs="Times New Roman"/>
                <w:bCs/>
                <w:kern w:val="0"/>
                <w:sz w:val="21"/>
              </w:rPr>
              <w:t>财产损失半径小于池火半径，3.6</w:t>
            </w:r>
          </w:p>
        </w:tc>
      </w:tr>
    </w:tbl>
    <w:p>
      <w:pPr>
        <w:widowControl/>
        <w:spacing w:line="240" w:lineRule="auto"/>
        <w:ind w:firstLine="0" w:firstLineChars="0"/>
        <w:jc w:val="center"/>
        <w:rPr>
          <w:rFonts w:ascii="Times New Roman" w:hAnsi="Times New Roman" w:cs="Times New Roman"/>
          <w:kern w:val="0"/>
          <w:szCs w:val="24"/>
        </w:rPr>
      </w:pPr>
      <w:r>
        <w:rPr>
          <w:rFonts w:ascii="Times New Roman" w:hAnsi="Times New Roman" w:cs="Times New Roman"/>
          <w:kern w:val="0"/>
          <w:szCs w:val="24"/>
        </w:rPr>
        <w:fldChar w:fldCharType="begin"/>
      </w:r>
      <w:r>
        <w:rPr>
          <w:rFonts w:ascii="Times New Roman" w:hAnsi="Times New Roman" w:cs="Times New Roman"/>
          <w:kern w:val="0"/>
          <w:szCs w:val="24"/>
        </w:rPr>
        <w:instrText xml:space="preserve"> INCLUDEPICTURE "C:\\Users\\Administrator\\AppData\\Roaming\\Tencent\\Users\\532983636\\QQ\\WinTemp\\RichOle\\B@YL33][S)UGNLIIF4]5N[R.png" \* MERGEFORMATINET </w:instrText>
      </w:r>
      <w:r>
        <w:rPr>
          <w:rFonts w:ascii="Times New Roman" w:hAnsi="Times New Roman" w:cs="Times New Roman"/>
          <w:kern w:val="0"/>
          <w:szCs w:val="24"/>
        </w:rPr>
        <w:fldChar w:fldCharType="separate"/>
      </w:r>
      <w:r>
        <w:rPr>
          <w:rFonts w:ascii="Times New Roman" w:hAnsi="Times New Roman" w:cs="Times New Roman"/>
          <w:kern w:val="0"/>
          <w:szCs w:val="24"/>
        </w:rPr>
        <w:drawing>
          <wp:inline distT="0" distB="0" distL="114300" distR="114300">
            <wp:extent cx="4877435" cy="3448050"/>
            <wp:effectExtent l="0" t="0" r="18415" b="0"/>
            <wp:docPr id="163" name="图片 48" descr="B@YL33][S)UGNLIIF4]5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48" descr="B@YL33][S)UGNLIIF4]5N[R"/>
                    <pic:cNvPicPr>
                      <a:picLocks noChangeAspect="1"/>
                    </pic:cNvPicPr>
                  </pic:nvPicPr>
                  <pic:blipFill>
                    <a:blip r:embed="rId59"/>
                    <a:stretch>
                      <a:fillRect/>
                    </a:stretch>
                  </pic:blipFill>
                  <pic:spPr>
                    <a:xfrm>
                      <a:off x="0" y="0"/>
                      <a:ext cx="4877435" cy="3448050"/>
                    </a:xfrm>
                    <a:prstGeom prst="rect">
                      <a:avLst/>
                    </a:prstGeom>
                    <a:noFill/>
                    <a:ln w="9525">
                      <a:noFill/>
                    </a:ln>
                  </pic:spPr>
                </pic:pic>
              </a:graphicData>
            </a:graphic>
          </wp:inline>
        </w:drawing>
      </w:r>
      <w:r>
        <w:rPr>
          <w:rFonts w:ascii="Times New Roman" w:hAnsi="Times New Roman" w:cs="Times New Roman"/>
          <w:kern w:val="0"/>
          <w:szCs w:val="24"/>
        </w:rPr>
        <w:fldChar w:fldCharType="end"/>
      </w:r>
    </w:p>
    <w:p>
      <w:pPr>
        <w:pStyle w:val="5"/>
        <w:kinsoku w:val="0"/>
        <w:overflowPunct w:val="0"/>
        <w:spacing w:before="35"/>
        <w:ind w:left="1752" w:right="187" w:firstLine="508"/>
        <w:rPr>
          <w:rFonts w:ascii="Times New Roman" w:hAnsi="Times New Roman" w:cs="Times New Roman"/>
          <w:spacing w:val="2"/>
        </w:rPr>
      </w:pPr>
      <w:r>
        <w:rPr>
          <w:rFonts w:ascii="Times New Roman" w:hAnsi="Times New Roman" w:cs="Times New Roman"/>
          <w:b/>
          <w:bCs/>
          <w:w w:val="105"/>
        </w:rPr>
        <w:t>图3.2-2</w:t>
      </w:r>
      <w:r>
        <w:rPr>
          <w:rFonts w:ascii="Times New Roman" w:hAnsi="Times New Roman" w:cs="Times New Roman"/>
          <w:b/>
          <w:bCs/>
          <w:spacing w:val="15"/>
          <w:w w:val="105"/>
        </w:rPr>
        <w:t xml:space="preserve"> </w:t>
      </w:r>
      <w:r>
        <w:rPr>
          <w:rFonts w:ascii="Times New Roman" w:hAnsi="Times New Roman" w:cs="Times New Roman"/>
          <w:b/>
          <w:bCs/>
          <w:spacing w:val="2"/>
          <w:w w:val="105"/>
        </w:rPr>
        <w:t>电解液池火危害图（单位：米）</w:t>
      </w:r>
    </w:p>
    <w:p>
      <w:pPr>
        <w:pStyle w:val="5"/>
        <w:kinsoku w:val="0"/>
        <w:overflowPunct w:val="0"/>
        <w:spacing w:before="7"/>
        <w:ind w:firstLine="241"/>
        <w:rPr>
          <w:rFonts w:ascii="Times New Roman" w:hAnsi="Times New Roman" w:cs="Times New Roman"/>
          <w:b/>
          <w:bCs/>
          <w:sz w:val="12"/>
          <w:szCs w:val="12"/>
        </w:rPr>
      </w:pPr>
    </w:p>
    <w:p>
      <w:pPr>
        <w:pStyle w:val="5"/>
        <w:kinsoku w:val="0"/>
        <w:overflowPunct w:val="0"/>
        <w:spacing w:before="35" w:line="350" w:lineRule="auto"/>
        <w:ind w:left="239" w:right="249" w:firstLine="488"/>
        <w:rPr>
          <w:rFonts w:ascii="Times New Roman" w:hAnsi="Times New Roman" w:cs="Times New Roman"/>
        </w:rPr>
      </w:pPr>
      <w:r>
        <w:rPr>
          <w:rFonts w:ascii="Times New Roman" w:hAnsi="Times New Roman" w:cs="Times New Roman"/>
          <w:spacing w:val="2"/>
        </w:rPr>
        <w:t>从上表（图）可以看出：电解液储桶发生事故时的危害较大，在半径</w:t>
      </w:r>
      <w:r>
        <w:rPr>
          <w:rFonts w:ascii="Times New Roman" w:hAnsi="Times New Roman" w:cs="Times New Roman"/>
        </w:rPr>
        <w:t>5.9m</w:t>
      </w:r>
      <w:r>
        <w:rPr>
          <w:rFonts w:ascii="Times New Roman" w:hAnsi="Times New Roman" w:cs="Times New Roman"/>
          <w:w w:val="105"/>
        </w:rPr>
        <w:t>范围内有死亡的危险，在半径</w:t>
      </w:r>
      <w:r>
        <w:rPr>
          <w:rFonts w:ascii="Times New Roman" w:hAnsi="Times New Roman" w:cs="Times New Roman"/>
          <w:spacing w:val="-73"/>
          <w:w w:val="105"/>
        </w:rPr>
        <w:t xml:space="preserve"> </w:t>
      </w:r>
      <w:r>
        <w:rPr>
          <w:rFonts w:ascii="Times New Roman" w:hAnsi="Times New Roman" w:cs="Times New Roman"/>
          <w:spacing w:val="2"/>
          <w:w w:val="105"/>
        </w:rPr>
        <w:t>8.3m</w:t>
      </w:r>
      <w:r>
        <w:rPr>
          <w:rFonts w:ascii="Times New Roman" w:hAnsi="Times New Roman" w:cs="Times New Roman"/>
          <w:w w:val="105"/>
        </w:rPr>
        <w:t>的范围内有重伤危险，在半径</w:t>
      </w:r>
      <w:r>
        <w:rPr>
          <w:rFonts w:ascii="Times New Roman" w:hAnsi="Times New Roman" w:cs="Times New Roman"/>
          <w:spacing w:val="-72"/>
          <w:w w:val="105"/>
        </w:rPr>
        <w:t xml:space="preserve"> </w:t>
      </w:r>
      <w:r>
        <w:rPr>
          <w:rFonts w:ascii="Times New Roman" w:hAnsi="Times New Roman" w:cs="Times New Roman"/>
          <w:w w:val="105"/>
        </w:rPr>
        <w:t>15.2m的范围内有轻伤损害危险。</w:t>
      </w:r>
    </w:p>
    <w:p>
      <w:pPr>
        <w:pStyle w:val="5"/>
        <w:kinsoku w:val="0"/>
        <w:overflowPunct w:val="0"/>
        <w:spacing w:before="35" w:line="350" w:lineRule="auto"/>
        <w:ind w:left="239" w:right="249" w:firstLine="488"/>
        <w:rPr>
          <w:rFonts w:ascii="Times New Roman" w:hAnsi="Times New Roman" w:cs="Times New Roman"/>
          <w:spacing w:val="2"/>
        </w:rPr>
      </w:pPr>
      <w:r>
        <w:rPr>
          <w:rFonts w:ascii="Times New Roman" w:hAnsi="Times New Roman" w:cs="Times New Roman"/>
          <w:spacing w:val="2"/>
        </w:rPr>
        <w:t>从厂图布置及周边环境分析，在发生池火事故时，主要是对距离该事故源点15.2m内的现场职工造成影响，不会危及到厂区外的人群。</w:t>
      </w:r>
    </w:p>
    <w:p>
      <w:pPr>
        <w:numPr>
          <w:ilvl w:val="1"/>
          <w:numId w:val="1"/>
        </w:numPr>
        <w:autoSpaceDE w:val="0"/>
        <w:autoSpaceDN w:val="0"/>
        <w:adjustRightInd w:val="0"/>
        <w:snapToGrid w:val="0"/>
        <w:spacing w:line="600" w:lineRule="exact"/>
        <w:ind w:left="1072" w:hanging="1072" w:firstLineChars="0"/>
        <w:jc w:val="left"/>
        <w:textAlignment w:val="baseline"/>
        <w:outlineLvl w:val="1"/>
        <w:rPr>
          <w:rFonts w:ascii="Times New Roman" w:hAnsi="Times New Roman" w:eastAsia="黑体" w:cs="Times New Roman"/>
          <w:b/>
          <w:bCs/>
          <w:sz w:val="30"/>
          <w:szCs w:val="32"/>
        </w:rPr>
      </w:pPr>
      <w:r>
        <w:rPr>
          <w:rFonts w:ascii="Times New Roman" w:hAnsi="Times New Roman" w:eastAsia="黑体" w:cs="Times New Roman"/>
          <w:b/>
          <w:bCs/>
          <w:sz w:val="30"/>
          <w:szCs w:val="32"/>
        </w:rPr>
        <w:t>危险物质在水体中的扩散</w:t>
      </w:r>
    </w:p>
    <w:p>
      <w:pPr>
        <w:pStyle w:val="5"/>
        <w:kinsoku w:val="0"/>
        <w:overflowPunct w:val="0"/>
        <w:spacing w:before="35" w:line="350" w:lineRule="auto"/>
        <w:ind w:left="239" w:right="249" w:firstLine="488"/>
        <w:rPr>
          <w:rFonts w:ascii="Times New Roman" w:hAnsi="Times New Roman" w:cs="Times New Roman"/>
          <w:spacing w:val="2"/>
        </w:rPr>
      </w:pPr>
      <w:bookmarkStart w:id="10" w:name="_Toc422308960"/>
      <w:r>
        <w:rPr>
          <w:rFonts w:ascii="Times New Roman" w:hAnsi="Times New Roman" w:cs="Times New Roman"/>
          <w:spacing w:val="2"/>
        </w:rPr>
        <w:t>建设单位危险化学品库在发生火灾事故时，所有废水废液由其四周设置的地沟妥善收集，进入事故池暂存，待事故结束后，对事故池内废水进行检测分析，根据水质情况拟定相应处理、处置措施，可有效防止污染物最终进入水体。</w:t>
      </w:r>
    </w:p>
    <w:p>
      <w:pPr>
        <w:pStyle w:val="5"/>
        <w:kinsoku w:val="0"/>
        <w:overflowPunct w:val="0"/>
        <w:spacing w:before="35" w:line="350" w:lineRule="auto"/>
        <w:ind w:left="239" w:right="249" w:firstLine="488"/>
        <w:rPr>
          <w:rFonts w:ascii="Times New Roman" w:hAnsi="Times New Roman" w:cs="Times New Roman"/>
          <w:spacing w:val="2"/>
        </w:rPr>
      </w:pPr>
      <w:r>
        <w:rPr>
          <w:rFonts w:ascii="Times New Roman" w:hAnsi="Times New Roman" w:cs="Times New Roman"/>
          <w:spacing w:val="2"/>
        </w:rPr>
        <w:t>综上所述，本项目污染物在采取了相应的应急措施后，可有效防止其扩散到 周围水体，并可以得到妥善处置。</w:t>
      </w:r>
    </w:p>
    <w:p>
      <w:pPr>
        <w:kinsoku w:val="0"/>
        <w:overflowPunct w:val="0"/>
        <w:autoSpaceDE w:val="0"/>
        <w:autoSpaceDN w:val="0"/>
        <w:adjustRightInd w:val="0"/>
        <w:spacing w:before="145" w:line="240" w:lineRule="auto"/>
        <w:ind w:left="140" w:right="48" w:firstLine="0" w:firstLineChars="0"/>
        <w:jc w:val="left"/>
        <w:outlineLvl w:val="3"/>
        <w:rPr>
          <w:rFonts w:ascii="Times New Roman" w:hAnsi="Times New Roman" w:eastAsia="黑体" w:cs="Times New Roman"/>
          <w:b/>
          <w:bCs/>
          <w:sz w:val="30"/>
          <w:szCs w:val="32"/>
        </w:rPr>
      </w:pPr>
      <w:r>
        <w:rPr>
          <w:rFonts w:ascii="Times New Roman" w:hAnsi="Times New Roman" w:eastAsia="黑体" w:cs="Times New Roman"/>
          <w:b/>
          <w:bCs/>
          <w:sz w:val="30"/>
          <w:szCs w:val="32"/>
        </w:rPr>
        <w:t>3.4计算及分析</w:t>
      </w:r>
    </w:p>
    <w:p>
      <w:pPr>
        <w:kinsoku w:val="0"/>
        <w:overflowPunct w:val="0"/>
        <w:autoSpaceDE w:val="0"/>
        <w:autoSpaceDN w:val="0"/>
        <w:adjustRightInd w:val="0"/>
        <w:spacing w:before="2" w:line="240" w:lineRule="auto"/>
        <w:ind w:firstLine="0" w:firstLineChars="0"/>
        <w:jc w:val="left"/>
        <w:rPr>
          <w:rFonts w:ascii="Times New Roman" w:hAnsi="Times New Roman" w:cs="Times New Roman"/>
          <w:b/>
          <w:bCs/>
          <w:kern w:val="0"/>
          <w:sz w:val="22"/>
        </w:rPr>
      </w:pPr>
    </w:p>
    <w:p>
      <w:pPr>
        <w:pStyle w:val="5"/>
        <w:kinsoku w:val="0"/>
        <w:overflowPunct w:val="0"/>
        <w:spacing w:before="35" w:line="350" w:lineRule="auto"/>
        <w:ind w:left="239" w:right="249" w:firstLine="488"/>
        <w:rPr>
          <w:rFonts w:ascii="Times New Roman" w:hAnsi="Times New Roman" w:cs="Times New Roman"/>
          <w:spacing w:val="2"/>
        </w:rPr>
      </w:pPr>
      <w:r>
        <w:rPr>
          <w:rFonts w:ascii="Times New Roman" w:hAnsi="Times New Roman" w:cs="Times New Roman"/>
          <w:spacing w:val="2"/>
        </w:rPr>
        <w:t>建设项目生产设备、各原料储罐泄漏及火灾爆炸事件都会对项目建设地周边人群及周边空气环境造成明显危害。</w:t>
      </w:r>
    </w:p>
    <w:p>
      <w:pPr>
        <w:pStyle w:val="5"/>
        <w:kinsoku w:val="0"/>
        <w:overflowPunct w:val="0"/>
        <w:spacing w:before="35" w:line="350" w:lineRule="auto"/>
        <w:ind w:left="239" w:right="249" w:firstLine="488"/>
        <w:rPr>
          <w:rFonts w:ascii="Times New Roman" w:hAnsi="Times New Roman" w:cs="Times New Roman"/>
          <w:spacing w:val="2"/>
        </w:rPr>
      </w:pPr>
      <w:r>
        <w:rPr>
          <w:rFonts w:ascii="Times New Roman" w:hAnsi="Times New Roman" w:cs="Times New Roman"/>
          <w:spacing w:val="2"/>
        </w:rPr>
        <w:t>（1）当电解液发生火灾爆炸事故，储存单元电解液储罐发生火灾时，死亡范围5.9m在厂区范围内，对厂区外影响较小。</w:t>
      </w:r>
    </w:p>
    <w:p>
      <w:pPr>
        <w:pStyle w:val="5"/>
        <w:kinsoku w:val="0"/>
        <w:overflowPunct w:val="0"/>
        <w:spacing w:before="35" w:line="350" w:lineRule="auto"/>
        <w:ind w:left="239" w:right="249" w:firstLine="488"/>
        <w:rPr>
          <w:rFonts w:ascii="Times New Roman" w:hAnsi="Times New Roman" w:cs="Times New Roman"/>
          <w:spacing w:val="2"/>
        </w:rPr>
      </w:pPr>
      <w:r>
        <w:rPr>
          <w:rFonts w:ascii="Times New Roman" w:hAnsi="Times New Roman" w:cs="Times New Roman"/>
          <w:spacing w:val="2"/>
        </w:rPr>
        <w:t>（2）根据泄漏气体事故影响分析可知，事故状态下，泄漏的氟化氢均未达到未达到半致死浓度（大鼠吸入LC501044mg/m</w:t>
      </w:r>
      <w:r>
        <w:rPr>
          <w:rFonts w:ascii="Times New Roman" w:hAnsi="Times New Roman" w:cs="Times New Roman"/>
          <w:spacing w:val="2"/>
          <w:vertAlign w:val="superscript"/>
        </w:rPr>
        <w:t>3</w:t>
      </w:r>
      <w:r>
        <w:rPr>
          <w:rFonts w:ascii="Times New Roman" w:hAnsi="Times New Roman" w:cs="Times New Roman"/>
          <w:spacing w:val="2"/>
        </w:rPr>
        <w:t>）；但在有风条件下，E-F稳定度情况，氟化氢超过短时间接触浓度（车间浓度2mg/m</w:t>
      </w:r>
      <w:r>
        <w:rPr>
          <w:rFonts w:ascii="Times New Roman" w:hAnsi="Times New Roman" w:cs="Times New Roman"/>
          <w:spacing w:val="2"/>
          <w:vertAlign w:val="superscript"/>
        </w:rPr>
        <w:t>3</w:t>
      </w:r>
      <w:r>
        <w:rPr>
          <w:rFonts w:ascii="Times New Roman" w:hAnsi="Times New Roman" w:cs="Times New Roman"/>
          <w:spacing w:val="2"/>
        </w:rPr>
        <w:t>）限值，最大影响范围为8.8m。</w:t>
      </w:r>
    </w:p>
    <w:p>
      <w:pPr>
        <w:pStyle w:val="5"/>
        <w:kinsoku w:val="0"/>
        <w:overflowPunct w:val="0"/>
        <w:spacing w:before="35" w:line="350" w:lineRule="auto"/>
        <w:ind w:left="239" w:right="249" w:firstLine="488"/>
        <w:rPr>
          <w:rFonts w:ascii="Times New Roman" w:hAnsi="Times New Roman" w:cs="Times New Roman"/>
          <w:spacing w:val="2"/>
        </w:rPr>
      </w:pPr>
      <w:r>
        <w:rPr>
          <w:rFonts w:ascii="Times New Roman" w:hAnsi="Times New Roman" w:cs="Times New Roman"/>
          <w:spacing w:val="2"/>
        </w:rPr>
        <w:t>毒性影响通常采用概率函数形式计算有毒物质从污染源到一定距离能造成 死亡或伤害的经验概率的剂量。</w:t>
      </w:r>
    </w:p>
    <w:p>
      <w:pPr>
        <w:pStyle w:val="5"/>
        <w:kinsoku w:val="0"/>
        <w:overflowPunct w:val="0"/>
        <w:spacing w:before="35" w:line="350" w:lineRule="auto"/>
        <w:ind w:left="239" w:right="249" w:firstLine="488"/>
        <w:rPr>
          <w:rFonts w:ascii="Times New Roman" w:hAnsi="Times New Roman" w:cs="Times New Roman"/>
          <w:spacing w:val="2"/>
        </w:rPr>
      </w:pPr>
      <w:r>
        <w:rPr>
          <w:rFonts w:ascii="Times New Roman" w:hAnsi="Times New Roman" w:cs="Times New Roman"/>
          <w:spacing w:val="2"/>
        </w:rPr>
        <w:t>概率 Y 与接触毒物浓度及接触时间的关系为：</w:t>
      </w:r>
    </w:p>
    <w:p>
      <w:pPr>
        <w:widowControl/>
        <w:spacing w:line="240" w:lineRule="auto"/>
        <w:ind w:firstLine="0" w:firstLineChars="0"/>
        <w:jc w:val="center"/>
        <w:rPr>
          <w:rFonts w:ascii="Times New Roman" w:hAnsi="Times New Roman" w:cs="Times New Roman"/>
          <w:kern w:val="0"/>
          <w:szCs w:val="24"/>
        </w:rPr>
      </w:pPr>
      <w:r>
        <w:rPr>
          <w:rFonts w:ascii="Times New Roman" w:hAnsi="Times New Roman" w:cs="Times New Roman"/>
          <w:kern w:val="0"/>
          <w:szCs w:val="24"/>
        </w:rPr>
        <w:fldChar w:fldCharType="begin"/>
      </w:r>
      <w:r>
        <w:rPr>
          <w:rFonts w:ascii="Times New Roman" w:hAnsi="Times New Roman" w:cs="Times New Roman"/>
          <w:kern w:val="0"/>
          <w:szCs w:val="24"/>
        </w:rPr>
        <w:instrText xml:space="preserve"> INCLUDEPICTURE "C:\\Users\\Administrator\\AppData\\Roaming\\Tencent\\Users\\532983636\\QQ\\WinTemp\\RichOle\\IJL0{@5R%UM6O(9`N8D$W{3.png" \* MERGEFORMATINET </w:instrText>
      </w:r>
      <w:r>
        <w:rPr>
          <w:rFonts w:ascii="Times New Roman" w:hAnsi="Times New Roman" w:cs="Times New Roman"/>
          <w:kern w:val="0"/>
          <w:szCs w:val="24"/>
        </w:rPr>
        <w:fldChar w:fldCharType="separate"/>
      </w:r>
      <w:r>
        <w:rPr>
          <w:rFonts w:ascii="Times New Roman" w:hAnsi="Times New Roman" w:cs="Times New Roman"/>
          <w:kern w:val="0"/>
          <w:szCs w:val="24"/>
        </w:rPr>
        <w:drawing>
          <wp:inline distT="0" distB="0" distL="114300" distR="114300">
            <wp:extent cx="1991360" cy="285115"/>
            <wp:effectExtent l="0" t="0" r="8890" b="635"/>
            <wp:docPr id="164" name="图片 49" descr="IJL0{@5R%UM6O(9`N8D$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49" descr="IJL0{@5R%UM6O(9`N8D$W{3"/>
                    <pic:cNvPicPr>
                      <a:picLocks noChangeAspect="1"/>
                    </pic:cNvPicPr>
                  </pic:nvPicPr>
                  <pic:blipFill>
                    <a:blip r:embed="rId60"/>
                    <a:stretch>
                      <a:fillRect/>
                    </a:stretch>
                  </pic:blipFill>
                  <pic:spPr>
                    <a:xfrm>
                      <a:off x="0" y="0"/>
                      <a:ext cx="1991360" cy="285115"/>
                    </a:xfrm>
                    <a:prstGeom prst="rect">
                      <a:avLst/>
                    </a:prstGeom>
                    <a:noFill/>
                    <a:ln w="9525">
                      <a:noFill/>
                    </a:ln>
                  </pic:spPr>
                </pic:pic>
              </a:graphicData>
            </a:graphic>
          </wp:inline>
        </w:drawing>
      </w:r>
      <w:r>
        <w:rPr>
          <w:rFonts w:ascii="Times New Roman" w:hAnsi="Times New Roman" w:cs="Times New Roman"/>
          <w:kern w:val="0"/>
          <w:szCs w:val="24"/>
        </w:rPr>
        <w:fldChar w:fldCharType="end"/>
      </w:r>
    </w:p>
    <w:p>
      <w:pPr>
        <w:spacing w:line="440" w:lineRule="exact"/>
        <w:ind w:firstLine="503"/>
        <w:rPr>
          <w:rFonts w:ascii="Times New Roman" w:hAnsi="Times New Roman" w:cs="Times New Roman"/>
          <w:w w:val="105"/>
        </w:rPr>
      </w:pPr>
      <w:r>
        <w:rPr>
          <w:rFonts w:ascii="Times New Roman" w:hAnsi="Times New Roman" w:cs="Times New Roman"/>
          <w:w w:val="105"/>
        </w:rPr>
        <mc:AlternateContent>
          <mc:Choice Requires="wps">
            <w:drawing>
              <wp:anchor distT="0" distB="0" distL="114300" distR="114300" simplePos="0" relativeHeight="251665408" behindDoc="1" locked="0" layoutInCell="0" allowOverlap="1">
                <wp:simplePos x="0" y="0"/>
                <wp:positionH relativeFrom="page">
                  <wp:posOffset>4407535</wp:posOffset>
                </wp:positionH>
                <wp:positionV relativeFrom="paragraph">
                  <wp:posOffset>-93980</wp:posOffset>
                </wp:positionV>
                <wp:extent cx="40005" cy="89535"/>
                <wp:effectExtent l="0" t="0" r="0" b="0"/>
                <wp:wrapNone/>
                <wp:docPr id="165" name="文本框 115"/>
                <wp:cNvGraphicFramePr/>
                <a:graphic xmlns:a="http://schemas.openxmlformats.org/drawingml/2006/main">
                  <a:graphicData uri="http://schemas.microsoft.com/office/word/2010/wordprocessingShape">
                    <wps:wsp>
                      <wps:cNvSpPr txBox="1"/>
                      <wps:spPr>
                        <a:xfrm>
                          <a:off x="0" y="0"/>
                          <a:ext cx="40005" cy="89535"/>
                        </a:xfrm>
                        <a:prstGeom prst="rect">
                          <a:avLst/>
                        </a:prstGeom>
                        <a:noFill/>
                        <a:ln w="9525">
                          <a:noFill/>
                        </a:ln>
                      </wps:spPr>
                      <wps:txbx>
                        <w:txbxContent>
                          <w:p>
                            <w:pPr>
                              <w:pStyle w:val="5"/>
                              <w:kinsoku w:val="0"/>
                              <w:overflowPunct w:val="0"/>
                              <w:spacing w:line="141" w:lineRule="exact"/>
                              <w:ind w:firstLine="280"/>
                              <w:rPr>
                                <w:rFonts w:ascii="Times New Roman"/>
                                <w:sz w:val="14"/>
                                <w:szCs w:val="14"/>
                              </w:rPr>
                            </w:pPr>
                            <w:r>
                              <w:rPr>
                                <w:rFonts w:ascii="Times New Roman"/>
                                <w:i/>
                                <w:iCs/>
                                <w:sz w:val="14"/>
                                <w:szCs w:val="14"/>
                              </w:rPr>
                              <w:t>e</w:t>
                            </w:r>
                          </w:p>
                        </w:txbxContent>
                      </wps:txbx>
                      <wps:bodyPr lIns="0" tIns="0" rIns="0" bIns="0" upright="1"/>
                    </wps:wsp>
                  </a:graphicData>
                </a:graphic>
              </wp:anchor>
            </w:drawing>
          </mc:Choice>
          <mc:Fallback>
            <w:pict>
              <v:shape id="文本框 115" o:spid="_x0000_s1026" o:spt="202" type="#_x0000_t202" style="position:absolute;left:0pt;margin-left:347.05pt;margin-top:-7.4pt;height:7.05pt;width:3.15pt;mso-position-horizontal-relative:page;z-index:-251651072;mso-width-relative:page;mso-height-relative:page;" filled="f" stroked="f" coordsize="21600,21600" o:allowincell="f" o:gfxdata="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CnRwajYAAAACQEA&#10;AA8AAAAAAAAAAQAgAAAAIgAAAGRycy9kb3ducmV2LnhtbFBLAQIUABQAAAAIAIdO4kCIuOxuqAEA&#10;AC4DAAAOAAAAAAAAAAEAIAAAACcBAABkcnMvZTJvRG9jLnhtbFBLBQYAAAAABgAGAFkBAABBBQAA&#10;AAA=&#10;">
                <v:fill on="f" focussize="0,0"/>
                <v:stroke on="f"/>
                <v:imagedata o:title=""/>
                <o:lock v:ext="edit" aspectratio="f"/>
                <v:textbox inset="0mm,0mm,0mm,0mm">
                  <w:txbxContent>
                    <w:p>
                      <w:pPr>
                        <w:pStyle w:val="5"/>
                        <w:kinsoku w:val="0"/>
                        <w:overflowPunct w:val="0"/>
                        <w:spacing w:line="141" w:lineRule="exact"/>
                        <w:ind w:firstLine="280"/>
                        <w:rPr>
                          <w:rFonts w:ascii="Times New Roman"/>
                          <w:sz w:val="14"/>
                          <w:szCs w:val="14"/>
                        </w:rPr>
                      </w:pPr>
                      <w:r>
                        <w:rPr>
                          <w:rFonts w:ascii="Times New Roman"/>
                          <w:i/>
                          <w:iCs/>
                          <w:sz w:val="14"/>
                          <w:szCs w:val="14"/>
                        </w:rPr>
                        <w:t>e</w:t>
                      </w:r>
                    </w:p>
                  </w:txbxContent>
                </v:textbox>
              </v:shape>
            </w:pict>
          </mc:Fallback>
        </mc:AlternateContent>
      </w:r>
      <w:r>
        <w:rPr>
          <w:rFonts w:ascii="Times New Roman" w:hAnsi="Times New Roman" w:cs="Times New Roman"/>
          <w:w w:val="105"/>
        </w:rPr>
        <w:t>式中，A</w:t>
      </w:r>
      <w:r>
        <w:rPr>
          <w:rFonts w:ascii="Times New Roman" w:hAnsi="Times New Roman" w:cs="Times New Roman"/>
          <w:w w:val="105"/>
          <w:vertAlign w:val="subscript"/>
        </w:rPr>
        <w:t>t</w:t>
      </w:r>
      <w:r>
        <w:rPr>
          <w:rFonts w:ascii="Times New Roman" w:hAnsi="Times New Roman" w:cs="Times New Roman"/>
          <w:w w:val="105"/>
        </w:rPr>
        <w:t>、B</w:t>
      </w:r>
      <w:r>
        <w:rPr>
          <w:rFonts w:ascii="Times New Roman" w:hAnsi="Times New Roman" w:cs="Times New Roman"/>
          <w:w w:val="105"/>
          <w:vertAlign w:val="subscript"/>
        </w:rPr>
        <w:t>t</w:t>
      </w:r>
      <w:r>
        <w:rPr>
          <w:rFonts w:ascii="Times New Roman" w:hAnsi="Times New Roman" w:cs="Times New Roman"/>
          <w:w w:val="105"/>
        </w:rPr>
        <w:t>和n与毒物性质有关；</w:t>
      </w:r>
    </w:p>
    <w:p>
      <w:pPr>
        <w:spacing w:line="440" w:lineRule="exact"/>
        <w:ind w:firstLine="503"/>
        <w:rPr>
          <w:rFonts w:ascii="Times New Roman" w:hAnsi="Times New Roman" w:cs="Times New Roman"/>
          <w:w w:val="105"/>
        </w:rPr>
      </w:pPr>
      <w:r>
        <w:rPr>
          <w:rFonts w:ascii="Times New Roman" w:hAnsi="Times New Roman" w:cs="Times New Roman"/>
          <w:w w:val="105"/>
        </w:rPr>
        <w:t>D为接触的浓度(ppm);</w:t>
      </w:r>
    </w:p>
    <w:p>
      <w:pPr>
        <w:spacing w:line="440" w:lineRule="exact"/>
        <w:ind w:firstLine="503"/>
        <w:rPr>
          <w:rFonts w:ascii="Times New Roman" w:hAnsi="Times New Roman" w:cs="Times New Roman"/>
          <w:w w:val="105"/>
        </w:rPr>
      </w:pPr>
      <w:r>
        <w:rPr>
          <w:rFonts w:ascii="Times New Roman" w:hAnsi="Times New Roman" w:cs="Times New Roman"/>
          <w:w w:val="105"/>
        </w:rPr>
        <w:t>t</w:t>
      </w:r>
      <w:r>
        <w:rPr>
          <w:rFonts w:ascii="Times New Roman" w:hAnsi="Times New Roman" w:cs="Times New Roman"/>
          <w:w w:val="105"/>
          <w:vertAlign w:val="subscript"/>
        </w:rPr>
        <w:t>e</w:t>
      </w:r>
      <w:r>
        <w:rPr>
          <w:rFonts w:ascii="Times New Roman" w:hAnsi="Times New Roman" w:cs="Times New Roman"/>
          <w:w w:val="105"/>
        </w:rPr>
        <w:t>接触时间(min)；</w:t>
      </w:r>
    </w:p>
    <w:p>
      <w:pPr>
        <w:spacing w:line="440" w:lineRule="exact"/>
        <w:ind w:firstLine="503"/>
        <w:rPr>
          <w:rFonts w:ascii="Times New Roman" w:hAnsi="Times New Roman" w:cs="Times New Roman"/>
          <w:w w:val="105"/>
        </w:rPr>
      </w:pPr>
      <w:r>
        <w:rPr>
          <w:rFonts w:ascii="Times New Roman" w:hAnsi="Times New Roman" w:cs="Times New Roman"/>
          <w:w w:val="105"/>
        </w:rPr>
        <w:t>D</w:t>
      </w:r>
      <w:r>
        <w:rPr>
          <w:rFonts w:ascii="Times New Roman" w:hAnsi="Times New Roman" w:cs="Times New Roman"/>
          <w:w w:val="105"/>
          <w:vertAlign w:val="subscript"/>
        </w:rPr>
        <w:t>n</w:t>
      </w:r>
      <w:r>
        <w:rPr>
          <w:rFonts w:ascii="Times New Roman" w:hAnsi="Times New Roman" w:cs="Times New Roman"/>
          <w:w w:val="105"/>
        </w:rPr>
        <w:t>.t</w:t>
      </w:r>
      <w:r>
        <w:rPr>
          <w:rFonts w:ascii="Times New Roman" w:hAnsi="Times New Roman" w:cs="Times New Roman"/>
          <w:w w:val="105"/>
          <w:vertAlign w:val="subscript"/>
        </w:rPr>
        <w:t>e</w:t>
      </w:r>
      <w:r>
        <w:rPr>
          <w:rFonts w:ascii="Times New Roman" w:hAnsi="Times New Roman" w:cs="Times New Roman"/>
          <w:w w:val="105"/>
        </w:rPr>
        <w:t>为毒性负荷。在一个已知点其毒性浓度随着雾团的通过和稀释而变化。建设项目毒性物质氟化氢A、B、n 值分别为-26.4、3.35、1.0，D为89.3mg/m</w:t>
      </w:r>
      <w:r>
        <w:rPr>
          <w:rFonts w:ascii="Times New Roman" w:hAnsi="Times New Roman" w:cs="Times New Roman"/>
          <w:w w:val="105"/>
          <w:vertAlign w:val="superscript"/>
        </w:rPr>
        <w:t>3</w:t>
      </w:r>
      <w:r>
        <w:rPr>
          <w:rFonts w:ascii="Times New Roman" w:hAnsi="Times New Roman" w:cs="Times New Roman"/>
          <w:w w:val="105"/>
        </w:rPr>
        <w:t>， t取10min。</w:t>
      </w:r>
    </w:p>
    <w:p>
      <w:pPr>
        <w:pStyle w:val="5"/>
        <w:kinsoku w:val="0"/>
        <w:overflowPunct w:val="0"/>
        <w:spacing w:before="35" w:line="350" w:lineRule="auto"/>
        <w:ind w:left="239" w:right="249" w:firstLine="488"/>
        <w:rPr>
          <w:rFonts w:ascii="Times New Roman" w:hAnsi="Times New Roman" w:cs="Times New Roman"/>
          <w:spacing w:val="2"/>
        </w:rPr>
      </w:pPr>
      <w:r>
        <w:rPr>
          <w:rFonts w:ascii="Times New Roman" w:hAnsi="Times New Roman" w:cs="Times New Roman"/>
          <w:spacing w:val="2"/>
        </w:rPr>
        <w:t>根据计算，Y为-3.64，查阅《危险化学品安全评价》（国家安全生产监督管 理局编），死亡百分率小于1%。</w:t>
      </w:r>
    </w:p>
    <w:p>
      <w:pPr>
        <w:pStyle w:val="5"/>
        <w:kinsoku w:val="0"/>
        <w:overflowPunct w:val="0"/>
        <w:spacing w:before="35" w:line="350" w:lineRule="auto"/>
        <w:ind w:left="239" w:right="249" w:firstLine="488"/>
        <w:rPr>
          <w:rFonts w:ascii="Times New Roman" w:hAnsi="Times New Roman" w:cs="Times New Roman"/>
          <w:spacing w:val="2"/>
        </w:rPr>
      </w:pPr>
      <w:r>
        <w:rPr>
          <w:rFonts w:ascii="Times New Roman" w:hAnsi="Times New Roman" w:cs="Times New Roman"/>
          <w:spacing w:val="2"/>
        </w:rPr>
        <w:t>根据对项目所在地调查可知，项目周围5000米范围内人口密度约0.88人/100m</w:t>
      </w:r>
      <w:r>
        <w:rPr>
          <w:rFonts w:ascii="Times New Roman" w:hAnsi="Times New Roman" w:cs="Times New Roman"/>
          <w:spacing w:val="2"/>
          <w:vertAlign w:val="superscript"/>
        </w:rPr>
        <w:t>2</w:t>
      </w:r>
      <w:r>
        <w:rPr>
          <w:rFonts w:ascii="Times New Roman" w:hAnsi="Times New Roman" w:cs="Times New Roman"/>
          <w:spacing w:val="2"/>
        </w:rPr>
        <w:t>。经计算得建设项目C值为0.679。风险值是风险评价表征量，包括事故的发生概率和事故的危害程度。定义为：</w:t>
      </w:r>
    </w:p>
    <w:p>
      <w:pPr>
        <w:widowControl/>
        <w:spacing w:line="240" w:lineRule="auto"/>
        <w:ind w:firstLine="0" w:firstLineChars="0"/>
        <w:jc w:val="center"/>
        <w:rPr>
          <w:rFonts w:ascii="Times New Roman" w:hAnsi="Times New Roman" w:cs="Times New Roman"/>
          <w:kern w:val="0"/>
          <w:szCs w:val="24"/>
        </w:rPr>
      </w:pPr>
      <w:r>
        <w:rPr>
          <w:rFonts w:ascii="Times New Roman" w:hAnsi="Times New Roman" w:cs="Times New Roman"/>
          <w:kern w:val="0"/>
          <w:szCs w:val="24"/>
        </w:rPr>
        <w:fldChar w:fldCharType="begin"/>
      </w:r>
      <w:r>
        <w:rPr>
          <w:rFonts w:ascii="Times New Roman" w:hAnsi="Times New Roman" w:cs="Times New Roman"/>
          <w:kern w:val="0"/>
          <w:szCs w:val="24"/>
        </w:rPr>
        <w:instrText xml:space="preserve"> INCLUDEPICTURE "C:\\Users\\Administrator\\AppData\\Roaming\\Tencent\\Users\\532983636\\QQ\\WinTemp\\RichOle\\X7KTBF8YCP0VK~3@GZ7XKPT.png" \* MERGEFORMATINET </w:instrText>
      </w:r>
      <w:r>
        <w:rPr>
          <w:rFonts w:ascii="Times New Roman" w:hAnsi="Times New Roman" w:cs="Times New Roman"/>
          <w:kern w:val="0"/>
          <w:szCs w:val="24"/>
        </w:rPr>
        <w:fldChar w:fldCharType="separate"/>
      </w:r>
      <w:r>
        <w:rPr>
          <w:rFonts w:ascii="Times New Roman" w:hAnsi="Times New Roman" w:cs="Times New Roman"/>
          <w:kern w:val="0"/>
          <w:szCs w:val="24"/>
        </w:rPr>
        <w:drawing>
          <wp:inline distT="0" distB="0" distL="114300" distR="114300">
            <wp:extent cx="3590925" cy="419735"/>
            <wp:effectExtent l="0" t="0" r="9525" b="18415"/>
            <wp:docPr id="166" name="图片 50" descr="X7KTBF8YCP0VK~3@GZ7XK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50" descr="X7KTBF8YCP0VK~3@GZ7XKPT"/>
                    <pic:cNvPicPr>
                      <a:picLocks noChangeAspect="1"/>
                    </pic:cNvPicPr>
                  </pic:nvPicPr>
                  <pic:blipFill>
                    <a:blip r:embed="rId61"/>
                    <a:stretch>
                      <a:fillRect/>
                    </a:stretch>
                  </pic:blipFill>
                  <pic:spPr>
                    <a:xfrm>
                      <a:off x="0" y="0"/>
                      <a:ext cx="3590925" cy="419735"/>
                    </a:xfrm>
                    <a:prstGeom prst="rect">
                      <a:avLst/>
                    </a:prstGeom>
                    <a:noFill/>
                    <a:ln w="9525">
                      <a:noFill/>
                    </a:ln>
                  </pic:spPr>
                </pic:pic>
              </a:graphicData>
            </a:graphic>
          </wp:inline>
        </w:drawing>
      </w:r>
      <w:r>
        <w:rPr>
          <w:rFonts w:ascii="Times New Roman" w:hAnsi="Times New Roman" w:cs="Times New Roman"/>
          <w:kern w:val="0"/>
          <w:szCs w:val="24"/>
        </w:rPr>
        <w:fldChar w:fldCharType="end"/>
      </w:r>
    </w:p>
    <w:p>
      <w:pPr>
        <w:pStyle w:val="5"/>
        <w:kinsoku w:val="0"/>
        <w:overflowPunct w:val="0"/>
        <w:spacing w:before="35" w:line="350" w:lineRule="auto"/>
        <w:ind w:left="239" w:right="249" w:firstLine="480"/>
        <w:rPr>
          <w:rFonts w:ascii="Times New Roman" w:hAnsi="Times New Roman" w:cs="Times New Roman"/>
          <w:spacing w:val="2"/>
        </w:rPr>
      </w:pPr>
      <w:r>
        <w:rPr>
          <w:rFonts w:ascii="Times New Roman" w:hAnsi="Times New Roman" w:cs="Times New Roman"/>
          <w:kern w:val="0"/>
          <w:szCs w:val="24"/>
        </w:rPr>
        <w:t>建设项目最大可信风险概率为1.2×10</w:t>
      </w:r>
      <w:r>
        <w:rPr>
          <w:rFonts w:ascii="Times New Roman" w:hAnsi="Times New Roman" w:cs="Times New Roman"/>
          <w:kern w:val="0"/>
          <w:szCs w:val="24"/>
          <w:vertAlign w:val="superscript"/>
        </w:rPr>
        <w:t>-6</w:t>
      </w:r>
      <w:r>
        <w:rPr>
          <w:rFonts w:ascii="Times New Roman" w:hAnsi="Times New Roman" w:cs="Times New Roman"/>
          <w:kern w:val="0"/>
          <w:szCs w:val="24"/>
        </w:rPr>
        <w:t>建设项目风险值R为</w:t>
      </w:r>
      <w:r>
        <w:rPr>
          <w:rFonts w:ascii="Times New Roman" w:hAnsi="Times New Roman" w:cs="Times New Roman"/>
          <w:spacing w:val="2"/>
        </w:rPr>
        <w:t>0.8×10</w:t>
      </w:r>
      <w:r>
        <w:rPr>
          <w:rFonts w:ascii="Times New Roman" w:hAnsi="Times New Roman" w:cs="Times New Roman"/>
          <w:spacing w:val="2"/>
          <w:vertAlign w:val="superscript"/>
        </w:rPr>
        <w:t>-6</w:t>
      </w:r>
      <w:r>
        <w:rPr>
          <w:rFonts w:ascii="Times New Roman" w:hAnsi="Times New Roman" w:cs="Times New Roman"/>
          <w:spacing w:val="2"/>
        </w:rPr>
        <w:t>，远低于化工行业可接受风险水平RL取8.33×10</w:t>
      </w:r>
      <w:r>
        <w:rPr>
          <w:rFonts w:ascii="Times New Roman" w:hAnsi="Times New Roman" w:cs="Times New Roman"/>
          <w:spacing w:val="2"/>
          <w:vertAlign w:val="superscript"/>
        </w:rPr>
        <w:t>-5</w:t>
      </w:r>
      <w:r>
        <w:rPr>
          <w:rFonts w:ascii="Times New Roman" w:hAnsi="Times New Roman" w:cs="Times New Roman"/>
          <w:spacing w:val="2"/>
        </w:rPr>
        <w:t>。因此，建设项目最大可信事故风险是可以接受的。</w:t>
      </w:r>
    </w:p>
    <w:p>
      <w:pPr>
        <w:pStyle w:val="5"/>
        <w:kinsoku w:val="0"/>
        <w:overflowPunct w:val="0"/>
        <w:spacing w:before="35" w:line="350" w:lineRule="auto"/>
        <w:ind w:left="239" w:right="249" w:firstLine="488"/>
        <w:rPr>
          <w:rFonts w:ascii="Times New Roman" w:hAnsi="Times New Roman" w:cs="Times New Roman"/>
          <w:spacing w:val="2"/>
        </w:rPr>
      </w:pPr>
    </w:p>
    <w:bookmarkEnd w:id="10"/>
    <w:p>
      <w:pPr>
        <w:keepNext/>
        <w:keepLines/>
        <w:pageBreakBefore/>
        <w:numPr>
          <w:ilvl w:val="0"/>
          <w:numId w:val="1"/>
        </w:numPr>
        <w:autoSpaceDE w:val="0"/>
        <w:autoSpaceDN w:val="0"/>
        <w:adjustRightInd w:val="0"/>
        <w:spacing w:before="400" w:after="600" w:line="240" w:lineRule="auto"/>
        <w:ind w:firstLineChars="0"/>
        <w:jc w:val="center"/>
        <w:textAlignment w:val="baseline"/>
        <w:outlineLvl w:val="0"/>
        <w:rPr>
          <w:rFonts w:ascii="Times New Roman" w:hAnsi="Times New Roman" w:eastAsia="黑体" w:cs="Times New Roman"/>
          <w:b/>
          <w:bCs/>
          <w:sz w:val="36"/>
          <w:szCs w:val="36"/>
        </w:rPr>
      </w:pPr>
      <w:bookmarkStart w:id="11" w:name="_Toc422308961"/>
      <w:r>
        <w:rPr>
          <w:rFonts w:ascii="Times New Roman" w:hAnsi="Times New Roman" w:eastAsia="黑体" w:cs="Times New Roman"/>
          <w:b/>
          <w:bCs/>
          <w:sz w:val="36"/>
          <w:szCs w:val="36"/>
        </w:rPr>
        <w:t>风险管理</w:t>
      </w:r>
      <w:bookmarkEnd w:id="11"/>
    </w:p>
    <w:p>
      <w:pPr>
        <w:spacing w:line="440" w:lineRule="exact"/>
        <w:ind w:firstLine="480"/>
        <w:rPr>
          <w:rFonts w:ascii="Times New Roman" w:hAnsi="Times New Roman" w:cs="Times New Roman"/>
        </w:rPr>
      </w:pPr>
      <w:r>
        <w:rPr>
          <w:rFonts w:ascii="Times New Roman" w:hAnsi="Times New Roman" w:cs="Times New Roman"/>
        </w:rPr>
        <w:t>由于环境风险具有突发性和破坏性（有时体现为灾难性）的特点，且本项目周边均为居民区，所以必须采取有效措施加以防范，加强控制和管理，杜绝、减轻和避免风险事件的发生。</w:t>
      </w:r>
    </w:p>
    <w:p>
      <w:pPr>
        <w:numPr>
          <w:ilvl w:val="1"/>
          <w:numId w:val="1"/>
        </w:numPr>
        <w:autoSpaceDE w:val="0"/>
        <w:autoSpaceDN w:val="0"/>
        <w:adjustRightInd w:val="0"/>
        <w:snapToGrid w:val="0"/>
        <w:spacing w:line="600" w:lineRule="exact"/>
        <w:ind w:left="1072" w:hanging="1072" w:firstLineChars="0"/>
        <w:jc w:val="left"/>
        <w:textAlignment w:val="baseline"/>
        <w:outlineLvl w:val="1"/>
        <w:rPr>
          <w:rFonts w:ascii="Times New Roman" w:hAnsi="Times New Roman" w:eastAsia="黑体" w:cs="Times New Roman"/>
          <w:b/>
          <w:bCs/>
          <w:sz w:val="30"/>
          <w:szCs w:val="32"/>
        </w:rPr>
      </w:pPr>
      <w:bookmarkStart w:id="12" w:name="_Toc422308962"/>
      <w:r>
        <w:rPr>
          <w:rFonts w:ascii="Times New Roman" w:hAnsi="Times New Roman" w:eastAsia="黑体" w:cs="Times New Roman"/>
          <w:b/>
          <w:bCs/>
          <w:sz w:val="30"/>
          <w:szCs w:val="32"/>
        </w:rPr>
        <w:t>风险防范措施</w:t>
      </w:r>
      <w:bookmarkEnd w:id="12"/>
    </w:p>
    <w:p>
      <w:pPr>
        <w:pStyle w:val="3"/>
        <w:kinsoku w:val="0"/>
        <w:overflowPunct w:val="0"/>
        <w:spacing w:before="240" w:after="240"/>
        <w:ind w:left="380" w:right="499"/>
        <w:rPr>
          <w:rFonts w:ascii="Times New Roman" w:hAnsi="Times New Roman" w:cs="Times New Roman"/>
        </w:rPr>
      </w:pPr>
      <w:r>
        <w:rPr>
          <w:rFonts w:ascii="Times New Roman" w:hAnsi="Times New Roman" w:cs="Times New Roman"/>
        </w:rPr>
        <w:t xml:space="preserve">4.1.1总平面布置优化 </w:t>
      </w:r>
    </w:p>
    <w:p>
      <w:pPr>
        <w:spacing w:line="440" w:lineRule="exact"/>
        <w:ind w:firstLine="480"/>
        <w:rPr>
          <w:rFonts w:ascii="Times New Roman" w:hAnsi="Times New Roman" w:cs="Times New Roman"/>
        </w:rPr>
      </w:pPr>
      <w:r>
        <w:rPr>
          <w:rFonts w:ascii="Times New Roman" w:hAnsi="Times New Roman" w:cs="Times New Roman"/>
        </w:rPr>
        <w:t>在总平面布置上严格按照严格遵守相关的法令、规章和政策，本着经济合理、节约用地的原则，在保证总图布置中工艺流程的合理、顺畅的同时，把厂区的防火、防爆、安全、卫生等要求按照相关的规章和规范落实。</w:t>
      </w:r>
    </w:p>
    <w:p>
      <w:pPr>
        <w:pStyle w:val="3"/>
        <w:kinsoku w:val="0"/>
        <w:overflowPunct w:val="0"/>
        <w:spacing w:before="240" w:after="240"/>
        <w:ind w:left="380" w:right="499"/>
        <w:rPr>
          <w:rFonts w:ascii="Times New Roman" w:hAnsi="Times New Roman" w:cs="Times New Roman"/>
        </w:rPr>
      </w:pPr>
      <w:r>
        <w:rPr>
          <w:rFonts w:ascii="Times New Roman" w:hAnsi="Times New Roman" w:cs="Times New Roman"/>
        </w:rPr>
        <w:t>4.1.2消防防范措施</w:t>
      </w:r>
    </w:p>
    <w:p>
      <w:pPr>
        <w:spacing w:line="440" w:lineRule="exact"/>
        <w:ind w:firstLine="480"/>
        <w:rPr>
          <w:rFonts w:ascii="Times New Roman" w:hAnsi="Times New Roman" w:cs="Times New Roman"/>
        </w:rPr>
      </w:pPr>
      <w:r>
        <w:rPr>
          <w:rFonts w:ascii="Times New Roman" w:hAnsi="Times New Roman" w:cs="Times New Roman"/>
        </w:rPr>
        <w:t>（1）按照国家规定建立专业的消防组织；</w:t>
      </w:r>
    </w:p>
    <w:p>
      <w:pPr>
        <w:spacing w:line="440" w:lineRule="exact"/>
        <w:ind w:firstLine="480"/>
        <w:rPr>
          <w:rFonts w:ascii="Times New Roman" w:hAnsi="Times New Roman" w:cs="Times New Roman"/>
        </w:rPr>
      </w:pPr>
      <w:r>
        <w:rPr>
          <w:rFonts w:ascii="Times New Roman" w:hAnsi="Times New Roman" w:cs="Times New Roman"/>
        </w:rPr>
        <w:t>（2）制定厂区防火规划、明确责任区，制定灭火作战方案，并加强防火防爆消防演练，提高消防队伍防火防爆的作战能力；</w:t>
      </w:r>
    </w:p>
    <w:p>
      <w:pPr>
        <w:spacing w:line="440" w:lineRule="exact"/>
        <w:ind w:firstLine="480"/>
        <w:rPr>
          <w:rFonts w:ascii="Times New Roman" w:hAnsi="Times New Roman" w:cs="Times New Roman"/>
        </w:rPr>
      </w:pPr>
      <w:r>
        <w:rPr>
          <w:rFonts w:ascii="Times New Roman" w:hAnsi="Times New Roman" w:cs="Times New Roman"/>
        </w:rPr>
        <w:t>（3）配备必要的消防器材和工具，保证发生爆炸和火灾时有足够的消防器材可以输送到现场；</w:t>
      </w:r>
    </w:p>
    <w:p>
      <w:pPr>
        <w:spacing w:line="440" w:lineRule="exact"/>
        <w:ind w:firstLine="480"/>
        <w:rPr>
          <w:rFonts w:ascii="Times New Roman" w:hAnsi="Times New Roman" w:cs="Times New Roman"/>
        </w:rPr>
      </w:pPr>
      <w:r>
        <w:rPr>
          <w:rFonts w:ascii="Times New Roman" w:hAnsi="Times New Roman" w:cs="Times New Roman"/>
        </w:rPr>
        <w:t>（4）建立消防站，消防站的建设规模按照企业内可能发生的最大一处火灾所需的消防力量来决定。消防站保护范围有时间和行车距离要求，即到达火灾现场不得超过5分钟(按车速30km/h计)，距离不大于2.5km；</w:t>
      </w:r>
    </w:p>
    <w:p>
      <w:pPr>
        <w:pStyle w:val="3"/>
        <w:kinsoku w:val="0"/>
        <w:overflowPunct w:val="0"/>
        <w:spacing w:before="240" w:after="240"/>
        <w:ind w:left="380" w:right="499"/>
        <w:rPr>
          <w:rFonts w:ascii="Times New Roman" w:hAnsi="Times New Roman" w:cs="Times New Roman"/>
        </w:rPr>
      </w:pPr>
      <w:r>
        <w:rPr>
          <w:rFonts w:ascii="Times New Roman" w:hAnsi="Times New Roman" w:cs="Times New Roman"/>
        </w:rPr>
        <w:t xml:space="preserve">4.1.3输中的防范措施 </w:t>
      </w:r>
    </w:p>
    <w:p>
      <w:pPr>
        <w:pStyle w:val="5"/>
        <w:kinsoku w:val="0"/>
        <w:overflowPunct w:val="0"/>
        <w:spacing w:before="142" w:line="439" w:lineRule="auto"/>
        <w:ind w:left="622" w:right="2697" w:firstLine="480"/>
        <w:rPr>
          <w:rFonts w:ascii="Times New Roman" w:hAnsi="Times New Roman" w:cs="Times New Roman"/>
          <w:sz w:val="18"/>
          <w:szCs w:val="18"/>
        </w:rPr>
      </w:pPr>
      <w:r>
        <w:rPr>
          <w:rFonts w:ascii="Times New Roman" w:hAnsi="Times New Roman" w:cs="Times New Roman"/>
        </w:rPr>
        <w:t>产品需求单位原材料的储运情况见表4.1-1。</w:t>
      </w:r>
    </w:p>
    <w:p>
      <w:pPr>
        <w:snapToGrid w:val="0"/>
        <w:spacing w:line="560" w:lineRule="exact"/>
        <w:ind w:firstLine="480" w:firstLineChars="0"/>
        <w:jc w:val="center"/>
        <w:rPr>
          <w:rFonts w:ascii="Times New Roman" w:hAnsi="Times New Roman" w:eastAsia="黑体" w:cs="Times New Roman"/>
          <w:snapToGrid w:val="0"/>
          <w:kern w:val="0"/>
          <w:szCs w:val="24"/>
        </w:rPr>
      </w:pPr>
      <w:r>
        <w:rPr>
          <w:rFonts w:ascii="Times New Roman" w:hAnsi="Times New Roman" w:eastAsia="黑体" w:cs="Times New Roman"/>
          <w:snapToGrid w:val="0"/>
          <w:kern w:val="0"/>
          <w:szCs w:val="24"/>
        </w:rPr>
        <w:tab/>
      </w:r>
      <w:r>
        <w:rPr>
          <w:rFonts w:ascii="Times New Roman" w:hAnsi="Times New Roman" w:eastAsia="黑体" w:cs="Times New Roman"/>
          <w:snapToGrid w:val="0"/>
          <w:kern w:val="0"/>
          <w:szCs w:val="24"/>
        </w:rPr>
        <w:t>产品需求单位原材料储运情况</w:t>
      </w:r>
    </w:p>
    <w:p>
      <w:pPr>
        <w:snapToGrid w:val="0"/>
        <w:spacing w:line="0" w:lineRule="atLeast"/>
        <w:ind w:firstLine="0" w:firstLineChars="0"/>
        <w:jc w:val="left"/>
        <w:rPr>
          <w:rFonts w:ascii="Times New Roman" w:hAnsi="Times New Roman" w:cs="Times New Roman"/>
          <w:snapToGrid w:val="0"/>
          <w:kern w:val="0"/>
          <w:sz w:val="21"/>
          <w:szCs w:val="24"/>
        </w:rPr>
      </w:pPr>
      <w:r>
        <w:rPr>
          <w:rFonts w:ascii="Times New Roman" w:hAnsi="Times New Roman" w:cs="Times New Roman"/>
          <w:snapToGrid w:val="0"/>
          <w:kern w:val="0"/>
          <w:sz w:val="21"/>
          <w:szCs w:val="24"/>
        </w:rPr>
        <w:t>表4.1-1</w:t>
      </w:r>
    </w:p>
    <w:tbl>
      <w:tblPr>
        <w:tblStyle w:val="11"/>
        <w:tblW w:w="8539" w:type="dxa"/>
        <w:jc w:val="center"/>
        <w:tblInd w:w="103" w:type="dxa"/>
        <w:tblLayout w:type="fixed"/>
        <w:tblCellMar>
          <w:top w:w="0" w:type="dxa"/>
          <w:left w:w="0" w:type="dxa"/>
          <w:bottom w:w="0" w:type="dxa"/>
          <w:right w:w="0" w:type="dxa"/>
        </w:tblCellMar>
      </w:tblPr>
      <w:tblGrid>
        <w:gridCol w:w="882"/>
        <w:gridCol w:w="2038"/>
        <w:gridCol w:w="4298"/>
        <w:gridCol w:w="1321"/>
      </w:tblGrid>
      <w:tr>
        <w:tblPrEx>
          <w:tblLayout w:type="fixed"/>
          <w:tblCellMar>
            <w:top w:w="0" w:type="dxa"/>
            <w:left w:w="0" w:type="dxa"/>
            <w:bottom w:w="0" w:type="dxa"/>
            <w:right w:w="0" w:type="dxa"/>
          </w:tblCellMar>
        </w:tblPrEx>
        <w:trPr>
          <w:trHeight w:val="364" w:hRule="exact"/>
          <w:jc w:val="center"/>
        </w:trPr>
        <w:tc>
          <w:tcPr>
            <w:tcW w:w="882" w:type="dxa"/>
            <w:tcBorders>
              <w:top w:val="single" w:color="000000" w:sz="10" w:space="0"/>
              <w:left w:val="nil"/>
              <w:bottom w:val="single" w:color="000000" w:sz="2"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序号</w:t>
            </w:r>
          </w:p>
        </w:tc>
        <w:tc>
          <w:tcPr>
            <w:tcW w:w="2038" w:type="dxa"/>
            <w:tcBorders>
              <w:top w:val="single" w:color="000000" w:sz="10" w:space="0"/>
              <w:left w:val="single" w:color="000000" w:sz="2" w:space="0"/>
              <w:bottom w:val="single" w:color="000000" w:sz="2" w:space="0"/>
              <w:right w:val="single" w:color="000000" w:sz="2"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原材料名称</w:t>
            </w:r>
          </w:p>
        </w:tc>
        <w:tc>
          <w:tcPr>
            <w:tcW w:w="4298" w:type="dxa"/>
            <w:tcBorders>
              <w:top w:val="single" w:color="000000" w:sz="10" w:space="0"/>
              <w:left w:val="single" w:color="000000" w:sz="2" w:space="0"/>
              <w:bottom w:val="single" w:color="000000" w:sz="2" w:space="0"/>
              <w:right w:val="single" w:color="000000" w:sz="2" w:space="0"/>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储运状况</w:t>
            </w:r>
          </w:p>
        </w:tc>
        <w:tc>
          <w:tcPr>
            <w:tcW w:w="1321" w:type="dxa"/>
            <w:tcBorders>
              <w:top w:val="single" w:color="000000" w:sz="10" w:space="0"/>
              <w:left w:val="single" w:color="000000" w:sz="2" w:space="0"/>
              <w:bottom w:val="single" w:color="000000" w:sz="2" w:space="0"/>
              <w:right w:val="nil"/>
            </w:tcBorders>
            <w:vAlign w:val="center"/>
          </w:tcPr>
          <w:p>
            <w:pPr>
              <w:pStyle w:val="15"/>
              <w:kinsoku w:val="0"/>
              <w:overflowPunct w:val="0"/>
              <w:spacing w:line="240" w:lineRule="auto"/>
              <w:ind w:firstLine="0" w:firstLineChars="0"/>
              <w:jc w:val="center"/>
              <w:rPr>
                <w:rFonts w:ascii="Times New Roman" w:hAnsi="Times New Roman" w:cs="Times New Roman"/>
                <w:bCs/>
                <w:sz w:val="21"/>
                <w:szCs w:val="20"/>
              </w:rPr>
            </w:pPr>
            <w:r>
              <w:rPr>
                <w:rFonts w:ascii="Times New Roman" w:hAnsi="Times New Roman" w:cs="Times New Roman"/>
                <w:bCs/>
                <w:sz w:val="21"/>
                <w:szCs w:val="20"/>
              </w:rPr>
              <w:t>说明</w:t>
            </w:r>
          </w:p>
        </w:tc>
      </w:tr>
      <w:tr>
        <w:tblPrEx>
          <w:tblLayout w:type="fixed"/>
          <w:tblCellMar>
            <w:top w:w="0" w:type="dxa"/>
            <w:left w:w="0" w:type="dxa"/>
            <w:bottom w:w="0" w:type="dxa"/>
            <w:right w:w="0" w:type="dxa"/>
          </w:tblCellMar>
        </w:tblPrEx>
        <w:trPr>
          <w:trHeight w:val="346" w:hRule="exact"/>
          <w:jc w:val="center"/>
        </w:trPr>
        <w:tc>
          <w:tcPr>
            <w:tcW w:w="882" w:type="dxa"/>
            <w:tcBorders>
              <w:top w:val="single" w:color="000000" w:sz="2" w:space="0"/>
              <w:left w:val="nil"/>
              <w:bottom w:val="single" w:color="000000" w:sz="2"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1</w:t>
            </w:r>
          </w:p>
        </w:tc>
        <w:tc>
          <w:tcPr>
            <w:tcW w:w="2038" w:type="dxa"/>
            <w:tcBorders>
              <w:top w:val="single" w:color="000000" w:sz="2" w:space="0"/>
              <w:left w:val="single" w:color="000000" w:sz="2" w:space="0"/>
              <w:bottom w:val="single" w:color="000000" w:sz="2"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电解液</w:t>
            </w:r>
          </w:p>
        </w:tc>
        <w:tc>
          <w:tcPr>
            <w:tcW w:w="4298" w:type="dxa"/>
            <w:tcBorders>
              <w:top w:val="single" w:color="000000" w:sz="2" w:space="0"/>
              <w:left w:val="single" w:color="000000" w:sz="2" w:space="0"/>
              <w:bottom w:val="single" w:color="000000" w:sz="2"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桶装、汽车运输，危险品仓库储存</w:t>
            </w:r>
          </w:p>
        </w:tc>
        <w:tc>
          <w:tcPr>
            <w:tcW w:w="1321" w:type="dxa"/>
            <w:tcBorders>
              <w:top w:val="single" w:color="000000" w:sz="2" w:space="0"/>
              <w:left w:val="single" w:color="000000" w:sz="2" w:space="0"/>
              <w:bottom w:val="single" w:color="000000" w:sz="2" w:space="0"/>
              <w:right w:val="nil"/>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加强管理</w:t>
            </w:r>
          </w:p>
        </w:tc>
      </w:tr>
      <w:tr>
        <w:tblPrEx>
          <w:tblLayout w:type="fixed"/>
          <w:tblCellMar>
            <w:top w:w="0" w:type="dxa"/>
            <w:left w:w="0" w:type="dxa"/>
            <w:bottom w:w="0" w:type="dxa"/>
            <w:right w:w="0" w:type="dxa"/>
          </w:tblCellMar>
        </w:tblPrEx>
        <w:trPr>
          <w:trHeight w:val="364" w:hRule="exact"/>
          <w:jc w:val="center"/>
        </w:trPr>
        <w:tc>
          <w:tcPr>
            <w:tcW w:w="882" w:type="dxa"/>
            <w:tcBorders>
              <w:top w:val="single" w:color="000000" w:sz="2" w:space="0"/>
              <w:left w:val="nil"/>
              <w:bottom w:val="single" w:color="000000" w:sz="10"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2</w:t>
            </w:r>
          </w:p>
        </w:tc>
        <w:tc>
          <w:tcPr>
            <w:tcW w:w="2038" w:type="dxa"/>
            <w:tcBorders>
              <w:top w:val="single" w:color="000000" w:sz="2" w:space="0"/>
              <w:left w:val="single" w:color="000000" w:sz="2" w:space="0"/>
              <w:bottom w:val="single" w:color="000000" w:sz="10"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原料空桶</w:t>
            </w:r>
          </w:p>
        </w:tc>
        <w:tc>
          <w:tcPr>
            <w:tcW w:w="4298" w:type="dxa"/>
            <w:tcBorders>
              <w:top w:val="single" w:color="000000" w:sz="2" w:space="0"/>
              <w:left w:val="single" w:color="000000" w:sz="2" w:space="0"/>
              <w:bottom w:val="single" w:color="000000" w:sz="10"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汽车运输，空桶区储存</w:t>
            </w:r>
          </w:p>
        </w:tc>
        <w:tc>
          <w:tcPr>
            <w:tcW w:w="1321" w:type="dxa"/>
            <w:tcBorders>
              <w:top w:val="single" w:color="000000" w:sz="2" w:space="0"/>
              <w:left w:val="single" w:color="000000" w:sz="2" w:space="0"/>
              <w:bottom w:val="single" w:color="000000" w:sz="10" w:space="0"/>
              <w:right w:val="nil"/>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加强管理</w:t>
            </w:r>
          </w:p>
        </w:tc>
      </w:tr>
    </w:tbl>
    <w:p>
      <w:pPr>
        <w:pStyle w:val="5"/>
        <w:kinsoku w:val="0"/>
        <w:overflowPunct w:val="0"/>
        <w:spacing w:before="35" w:line="372" w:lineRule="auto"/>
        <w:ind w:left="239" w:right="254" w:firstLine="500"/>
        <w:rPr>
          <w:rFonts w:ascii="Times New Roman" w:hAnsi="Times New Roman" w:cs="Times New Roman"/>
        </w:rPr>
      </w:pPr>
      <w:r>
        <w:rPr>
          <w:rFonts w:ascii="Times New Roman" w:hAnsi="Times New Roman" w:cs="Times New Roman"/>
          <w:spacing w:val="5"/>
        </w:rPr>
        <w:t>危险化学品运输必须委托具备危险化学品运输资质的单位负责承运，驾驶</w:t>
      </w:r>
      <w:r>
        <w:rPr>
          <w:rFonts w:ascii="Times New Roman" w:hAnsi="Times New Roman" w:cs="Times New Roman"/>
          <w:spacing w:val="-1"/>
        </w:rPr>
        <w:t>员、押运员等从业人员必须进行危险化学品执业资格培训，并经考核合格后取得</w:t>
      </w:r>
      <w:r>
        <w:rPr>
          <w:rFonts w:ascii="Times New Roman" w:hAnsi="Times New Roman" w:cs="Times New Roman"/>
          <w:w w:val="105"/>
        </w:rPr>
        <w:t>上岗资格。</w:t>
      </w:r>
    </w:p>
    <w:p>
      <w:pPr>
        <w:pStyle w:val="5"/>
        <w:kinsoku w:val="0"/>
        <w:overflowPunct w:val="0"/>
        <w:spacing w:before="40" w:line="367" w:lineRule="auto"/>
        <w:ind w:left="239" w:right="254" w:firstLine="476"/>
        <w:rPr>
          <w:rFonts w:ascii="Times New Roman" w:hAnsi="Times New Roman" w:cs="Times New Roman"/>
        </w:rPr>
      </w:pPr>
      <w:r>
        <w:rPr>
          <w:rFonts w:ascii="Times New Roman" w:hAnsi="Times New Roman" w:cs="Times New Roman"/>
          <w:spacing w:val="-1"/>
        </w:rPr>
        <w:t>建立、健全安全和消防管理制度，对管理、行车人员必须进行安全消防知识</w:t>
      </w:r>
      <w:r>
        <w:rPr>
          <w:rFonts w:ascii="Times New Roman" w:hAnsi="Times New Roman" w:cs="Times New Roman"/>
          <w:w w:val="105"/>
        </w:rPr>
        <w:t>的教育和业务技术培训。</w:t>
      </w:r>
    </w:p>
    <w:p>
      <w:pPr>
        <w:pStyle w:val="5"/>
        <w:kinsoku w:val="0"/>
        <w:overflowPunct w:val="0"/>
        <w:spacing w:before="45" w:line="372" w:lineRule="auto"/>
        <w:ind w:left="239" w:right="187" w:firstLine="480"/>
        <w:rPr>
          <w:rFonts w:ascii="Times New Roman" w:hAnsi="Times New Roman" w:cs="Times New Roman"/>
        </w:rPr>
      </w:pPr>
      <w:r>
        <w:rPr>
          <w:rFonts w:ascii="Times New Roman" w:hAnsi="Times New Roman" w:cs="Times New Roman"/>
        </w:rPr>
        <w:t>运输车辆严禁烟火，配备干粉灭火器。装运危险货物采取相应的防晒遮阳、控温、防爆、防火、防水、防冻、防撒漏等措施。备有发生抛锚、撞车、翻车事故的应急措施（包括器材、药剂）。运输工具表面按标准设立危险货物标识。标识的信息包括：主要化学成分或商品名称、数量、物理形态、危险类别、应急措</w:t>
      </w:r>
      <w:r>
        <w:rPr>
          <w:rFonts w:ascii="Times New Roman" w:hAnsi="Times New Roman" w:cs="Times New Roman"/>
          <w:w w:val="105"/>
        </w:rPr>
        <w:t>施和补救方法。</w:t>
      </w:r>
    </w:p>
    <w:p>
      <w:pPr>
        <w:pStyle w:val="5"/>
        <w:kinsoku w:val="0"/>
        <w:overflowPunct w:val="0"/>
        <w:spacing w:before="40" w:line="367" w:lineRule="auto"/>
        <w:ind w:left="239" w:right="254" w:firstLine="476"/>
        <w:rPr>
          <w:rFonts w:ascii="Times New Roman" w:hAnsi="Times New Roman" w:cs="Times New Roman"/>
        </w:rPr>
      </w:pPr>
      <w:r>
        <w:rPr>
          <w:rFonts w:ascii="Times New Roman" w:hAnsi="Times New Roman" w:cs="Times New Roman"/>
          <w:spacing w:val="-1"/>
        </w:rPr>
        <w:t>运输危险化学品的的包装物必须封口严密，能承受运输条件下内外压力，保证不因温度、湿度、压力变化而发生任何渗（泄）漏，不过量装载，不进禁止危险化学品管制区域。运输过程中要防渗漏、防溢出、防扬散，运输车辆在厂区内</w:t>
      </w:r>
      <w:r>
        <w:rPr>
          <w:rFonts w:ascii="Times New Roman" w:hAnsi="Times New Roman" w:cs="Times New Roman"/>
        </w:rPr>
        <w:t>行驶车速不得超过</w:t>
      </w:r>
      <w:r>
        <w:rPr>
          <w:rFonts w:ascii="Times New Roman" w:hAnsi="Times New Roman" w:cs="Times New Roman"/>
          <w:spacing w:val="-3"/>
        </w:rPr>
        <w:t>15km/h，出入大门不得超过</w:t>
      </w:r>
      <w:r>
        <w:rPr>
          <w:rFonts w:ascii="Times New Roman" w:hAnsi="Times New Roman" w:cs="Times New Roman"/>
        </w:rPr>
        <w:t>5km/h。搬运作业人员要注意个人</w:t>
      </w:r>
      <w:r>
        <w:rPr>
          <w:rFonts w:ascii="Times New Roman" w:hAnsi="Times New Roman" w:cs="Times New Roman"/>
          <w:spacing w:val="-1"/>
        </w:rPr>
        <w:t>防护，易燃易爆危险化学品的搬运等作业人员需穿防静电工作服，禁止穿带铁掌</w:t>
      </w:r>
      <w:r>
        <w:rPr>
          <w:rFonts w:ascii="Times New Roman" w:hAnsi="Times New Roman" w:cs="Times New Roman"/>
          <w:w w:val="105"/>
        </w:rPr>
        <w:t>的鞋子。搬运领用危险化学品时必须轻拿、轻放、轻装、轻卸。</w:t>
      </w:r>
    </w:p>
    <w:p>
      <w:pPr>
        <w:pStyle w:val="5"/>
        <w:kinsoku w:val="0"/>
        <w:overflowPunct w:val="0"/>
        <w:spacing w:before="45" w:line="367" w:lineRule="auto"/>
        <w:ind w:left="239" w:right="254" w:firstLine="480"/>
        <w:rPr>
          <w:rFonts w:ascii="Times New Roman" w:hAnsi="Times New Roman" w:cs="Times New Roman"/>
          <w:spacing w:val="2"/>
        </w:rPr>
      </w:pPr>
      <w:r>
        <w:rPr>
          <w:rFonts w:ascii="Times New Roman" w:hAnsi="Times New Roman" w:cs="Times New Roman"/>
        </w:rPr>
        <w:t>危险化学品库房须按照《建筑设计防火规范》(GB50016-2006)、《常用化学</w:t>
      </w:r>
      <w:r>
        <w:rPr>
          <w:rFonts w:ascii="Times New Roman" w:hAnsi="Times New Roman" w:cs="Times New Roman"/>
          <w:spacing w:val="-1"/>
        </w:rPr>
        <w:t>危险品储存通则》等国家安全标准的要求，保持库房内干燥通风、密封避光，安装通风设施。危化品库房应应设置防火墙及围堰等防止液体疏散的设施，按规定设置安全警示标志，要配备相应的干粉、轻水泡沫等消防器材。按照危化品不同性质、灭火方法等进行严格的分区分类和分库存放，区与区之间或库与库之间应</w:t>
      </w:r>
      <w:r>
        <w:rPr>
          <w:rFonts w:ascii="Times New Roman" w:hAnsi="Times New Roman" w:cs="Times New Roman"/>
          <w:w w:val="105"/>
        </w:rPr>
        <w:t>留有</w:t>
      </w:r>
      <w:r>
        <w:rPr>
          <w:rFonts w:ascii="Times New Roman" w:hAnsi="Times New Roman" w:cs="Times New Roman"/>
          <w:spacing w:val="-95"/>
          <w:w w:val="105"/>
        </w:rPr>
        <w:t xml:space="preserve"> </w:t>
      </w:r>
      <w:r>
        <w:rPr>
          <w:rFonts w:ascii="Times New Roman" w:hAnsi="Times New Roman" w:cs="Times New Roman"/>
          <w:spacing w:val="4"/>
          <w:w w:val="105"/>
        </w:rPr>
        <w:t>2m</w:t>
      </w:r>
      <w:r>
        <w:rPr>
          <w:rFonts w:ascii="Times New Roman" w:hAnsi="Times New Roman" w:cs="Times New Roman"/>
          <w:spacing w:val="-37"/>
          <w:w w:val="105"/>
        </w:rPr>
        <w:t xml:space="preserve"> </w:t>
      </w:r>
      <w:r>
        <w:rPr>
          <w:rFonts w:ascii="Times New Roman" w:hAnsi="Times New Roman" w:cs="Times New Roman"/>
          <w:spacing w:val="2"/>
          <w:w w:val="105"/>
        </w:rPr>
        <w:t>以上的消防通道或有隔离措施。</w:t>
      </w:r>
    </w:p>
    <w:p>
      <w:pPr>
        <w:pStyle w:val="3"/>
        <w:kinsoku w:val="0"/>
        <w:overflowPunct w:val="0"/>
        <w:spacing w:before="240" w:after="240"/>
        <w:ind w:left="380" w:right="499"/>
        <w:rPr>
          <w:rFonts w:ascii="Times New Roman" w:hAnsi="Times New Roman" w:cs="Times New Roman"/>
        </w:rPr>
      </w:pPr>
      <w:r>
        <w:rPr>
          <w:rFonts w:ascii="Times New Roman" w:hAnsi="Times New Roman" w:cs="Times New Roman"/>
        </w:rPr>
        <w:t>4.1.4  仓库区风险防范责任及要求</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（1）设立专用库区使其符合储存危险化学品的相关条件（如防晒、防潮、通风、防雷、防静电等）;</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（2）应按消防规范要求进行设计和建设，地面应做防腐防渗处理;</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（3）建立健全安全规程及值勤制度，设置通讯、报警装置，确保其处于完好状态；</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（4）对储存危险化学品的容器，应经有关检验部门定期检验合格后，才能使用，并设置明显的标识及警示牌；</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（5）对使用危险化学品的名称、数量进行严格登记；凡储存、使用危险化学品的岗位，都应配置合格的防毒器材、消防器材，并确保其处于完好状态；所 有进入储存、使用危险化学品的人员，都必须严格遵守《危险化学品管理制度》。</w:t>
      </w:r>
    </w:p>
    <w:p>
      <w:pPr>
        <w:pStyle w:val="3"/>
        <w:kinsoku w:val="0"/>
        <w:overflowPunct w:val="0"/>
        <w:spacing w:before="240" w:after="240"/>
        <w:ind w:left="380" w:right="499"/>
        <w:rPr>
          <w:rFonts w:ascii="Times New Roman" w:hAnsi="Times New Roman" w:cs="Times New Roman"/>
        </w:rPr>
      </w:pPr>
      <w:r>
        <w:rPr>
          <w:rFonts w:ascii="Times New Roman" w:hAnsi="Times New Roman" w:cs="Times New Roman"/>
        </w:rPr>
        <w:t>4.1.5 工艺和设备、装置方面安全防范措施</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（1）建立完整的工艺规程和操作法，工艺规程中除了考虑正常操作外，还应考虑异常操作处理及紧急事故处理的安全措施和设施。</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（2）设备需经单体试车、联动试车，合格后方可投入使用。</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（3）每一个工艺过程和每一道工序都应有严格符合生产实际的工艺指标，并对之进行严格管理。更改工艺指标需按规定履行相应的审批手续。</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（4）设备的选型及其性能指标应符合工艺要求。应根据不同物料的特性和生产过程选择合适的设备材质，严格控制设备及其配件（如垫片等）的制作、安 装质量，确保安全可靠。</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（5）对设备应进行定期检测，检查其折旧情况，并及时予以维修和更新。</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（6）对动力设备应加强润滑管理，保证其运行平稳、无杂音，轴承温度正常，振动不超标。暴露在外的传动部位，应有安全防护罩。</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（7）对有爆炸危险性的设备可使用抑爆材料等防爆、抑爆措施。</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（8）平板车等厂内运输车辆应有可靠的防爆、阻火措施。</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（9）平台、扶梯、栏杆等应按国家标准和规范要求设计，并有充足的照明。</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（10）对原辅材料的储存、使用，电器设备的使用，仪器的使用等均应有严 格规定。</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11）生产过程须按规程要求正确控制各种工艺参数和操作时间，各项控制参数的检测、分析、控制应考虑双重检测和联锁，并且应考虑在发生突然停电情况等应急状态的措施。严格执行开停车规程和检修操作规程，作好物料置换、清洗和检测等工作。</w:t>
      </w:r>
    </w:p>
    <w:p>
      <w:pPr>
        <w:pStyle w:val="3"/>
        <w:kinsoku w:val="0"/>
        <w:overflowPunct w:val="0"/>
        <w:spacing w:before="240" w:after="240"/>
        <w:ind w:left="380" w:right="499"/>
        <w:rPr>
          <w:rFonts w:ascii="Times New Roman" w:hAnsi="Times New Roman" w:cs="Times New Roman"/>
        </w:rPr>
      </w:pPr>
      <w:r>
        <w:rPr>
          <w:rFonts w:ascii="Times New Roman" w:hAnsi="Times New Roman" w:cs="Times New Roman"/>
        </w:rPr>
        <w:t>4.1.6 非正常工况下和事故状态下废气处理系统及方式的控制</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（1）NMP废气</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NMP回收装置在设备停车和检修等非正常工况条件下，涂布机停车后，根据生产及安全要求，NMP 回收装置需要继续运转8~12小时以保持气流循环，并利用回收装置的降温作用辅助系统冷却，而后方可对设备进行开仓检修。由于NMP能与水无限混溶，经过8~12小时的循环吸收后，循环气流中的NMP基本已被全部回收。当设备开仓时，系统散逸出的气体中已基本无NMP成分。</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在非正常工况下和事故状态下，NMP蒸汽发生事故的主要原因是NMP回收处理设备因爆炸而发生大面积破损造成的故障，发生概率较低。发生此类事故时，事故排放NMP在5km范围内均存在超标现象，对周围环境空气影响较大。建设单位应确保污染防治措施的稳定运行，杜绝非正常事故的发生，确保无组织废气污染物达标排放。</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当NMP回收装置因破损导致NMP蒸汽泄露时，设备应立即停机，抢险人员配带好安全防护用具，对泄露源进行修理，将逸散的NMP蒸汽采用吸风机吸入水池中，故障彻底排除后方可重新开机。水池中废水进入废水处置站进行处置。</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 xml:space="preserve">（2）粉尘 </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当主线或其他物料输送的除尘器发生少量泄露时，上料系统立即停止进料，抢险组配带好安全防护用具，以最快的速度找到泄露源，并立即更换备件，同时组织人员疏通除尘器及相关连接的管道，确保故障隐患的消除。在故障消除之后进料时，应组织人员把现场的粉尘清理干净，并存放到指定位置。</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当主线或其他物料输送的除尘器发生大量泄露时，投料机立即停机，并立即停止与之相关的吸尘风机，抢险人员立即用编织袋封堵修漏口，防止风力将造成扬尘污染环境，援助人员迅速将现场粉尘清理干净并做洒水处理。抢险人员对泄露源进行修理，并疏通除尘器及相关连接的管道，将参与的粉尘清理干净。故障彻底排除后方可重新开机。</w:t>
      </w:r>
    </w:p>
    <w:p>
      <w:pPr>
        <w:pStyle w:val="3"/>
        <w:kinsoku w:val="0"/>
        <w:overflowPunct w:val="0"/>
        <w:spacing w:before="240" w:after="240"/>
        <w:ind w:left="380" w:right="499"/>
        <w:rPr>
          <w:rFonts w:ascii="Times New Roman" w:hAnsi="Times New Roman" w:cs="Times New Roman"/>
        </w:rPr>
      </w:pPr>
      <w:r>
        <w:rPr>
          <w:rFonts w:ascii="Times New Roman" w:hAnsi="Times New Roman" w:cs="Times New Roman"/>
        </w:rPr>
        <w:t xml:space="preserve">4.1.7 电解液泄漏分析与处置 </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本项目电解液储存区设置单独的储存区，采用桶装形式，电解液储存量110桶×1000kg/桶，总储存量为110t。在不发生爆炸的情况下，同时所有的电解液泄漏的概率几乎为零，评价仅考虑1桶电解液泄露时对环境的影响。在发生事故时最大泄漏挥发出来的有机溶剂产生量较小，影响区域主要集中在电解液储存区域，对外部环境影响较小。</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电解液储存间应采取防渗措施，设置地沟收集泄漏的电解液。因此，在事故泄漏情况发生下，只要管理员能够严格遵照国家有关规定操作，对事故正确处理，泄漏事故的危害是可以控制的，泄漏的物料不会进入地下水和周边雨水管网。电解液可经过地沟收集。</w:t>
      </w:r>
    </w:p>
    <w:p>
      <w:pPr>
        <w:pStyle w:val="5"/>
        <w:kinsoku w:val="0"/>
        <w:overflowPunct w:val="0"/>
        <w:spacing w:before="40" w:line="372" w:lineRule="auto"/>
        <w:ind w:left="248" w:firstLine="494"/>
        <w:rPr>
          <w:rFonts w:ascii="Times New Roman" w:hAnsi="Times New Roman" w:cs="Times New Roman"/>
        </w:rPr>
      </w:pPr>
      <w:r>
        <w:rPr>
          <w:rFonts w:ascii="Times New Roman" w:hAnsi="Times New Roman" w:cs="Times New Roman"/>
          <w:b/>
          <w:bCs/>
          <w:spacing w:val="3"/>
        </w:rPr>
        <w:t>电解液泄漏应急处理：</w:t>
      </w:r>
      <w:r>
        <w:rPr>
          <w:rFonts w:ascii="Times New Roman" w:hAnsi="Times New Roman" w:cs="Times New Roman"/>
        </w:rPr>
        <w:t>迅速撤离泄漏污染区人员至安全区，并进行隔离，严格限制出入。切断火源。建议应急处理人员戴自给正压式呼吸器，穿消防防</w:t>
      </w:r>
      <w:r>
        <w:rPr>
          <w:rFonts w:ascii="Times New Roman" w:hAnsi="Times New Roman" w:cs="Times New Roman"/>
          <w:spacing w:val="-4"/>
        </w:rPr>
        <w:t>护服。尽可能切断泄漏源。防止进入下水道、排洪沟等限制性空间。小量泄漏：</w:t>
      </w:r>
      <w:r>
        <w:rPr>
          <w:rFonts w:ascii="Times New Roman" w:hAnsi="Times New Roman" w:cs="Times New Roman"/>
        </w:rPr>
        <w:t>用或其它惰性材料吸收。也可以用不燃性分散剂制成的乳液刷洗，洗液稀释后</w:t>
      </w:r>
      <w:r>
        <w:rPr>
          <w:rFonts w:ascii="Times New Roman" w:hAnsi="Times New Roman" w:cs="Times New Roman"/>
          <w:spacing w:val="-4"/>
        </w:rPr>
        <w:t>放入废水系统。大量泄漏：构筑围堤或挖坑收容。用泡沫覆盖，降低蒸气灾害。</w:t>
      </w:r>
      <w:r>
        <w:rPr>
          <w:rFonts w:ascii="Times New Roman" w:hAnsi="Times New Roman" w:cs="Times New Roman"/>
          <w:w w:val="105"/>
        </w:rPr>
        <w:t>用防爆泵转移至槽车或专用收集器内，回收或运至废物处理场所处置。</w:t>
      </w:r>
    </w:p>
    <w:p>
      <w:pPr>
        <w:pStyle w:val="5"/>
        <w:kinsoku w:val="0"/>
        <w:overflowPunct w:val="0"/>
        <w:spacing w:before="167" w:line="352" w:lineRule="auto"/>
        <w:ind w:left="248" w:firstLine="494"/>
        <w:rPr>
          <w:rFonts w:ascii="Times New Roman" w:hAnsi="Times New Roman" w:cs="Times New Roman"/>
          <w:b/>
          <w:bCs/>
          <w:spacing w:val="3"/>
        </w:rPr>
      </w:pPr>
      <w:r>
        <w:rPr>
          <w:rFonts w:ascii="Times New Roman" w:hAnsi="Times New Roman" w:cs="Times New Roman"/>
          <w:b/>
          <w:bCs/>
          <w:spacing w:val="3"/>
        </w:rPr>
        <w:t>电解液泄漏引发火灾应急处置：</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1、发现起火，立即报警，通过消防灭火。首先采用抗溶性泡沫、干粉、二氧化碳等灭火器灭火；</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2、切断火势蔓延的途径，冷却和疏散受火势威胁的密闭容器和可燃物，控制燃烧范围，并积极抢救受伤和被困人员； 3、通知安全等相关部门人员，启动相应的应急救护程序；</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3组织救援小组，封锁现场，疏散人员；</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 xml:space="preserve">4灭火工作结束后，对现场进行恢复清理； </w:t>
      </w:r>
    </w:p>
    <w:p>
      <w:pPr>
        <w:pStyle w:val="5"/>
        <w:kinsoku w:val="0"/>
        <w:overflowPunct w:val="0"/>
        <w:spacing w:before="40" w:line="372" w:lineRule="auto"/>
        <w:ind w:left="248" w:firstLine="490"/>
        <w:rPr>
          <w:rFonts w:ascii="Times New Roman" w:hAnsi="Times New Roman" w:cs="Times New Roman"/>
          <w:b/>
          <w:bCs/>
          <w:spacing w:val="-30"/>
        </w:rPr>
      </w:pPr>
      <w:r>
        <w:rPr>
          <w:rFonts w:ascii="Times New Roman" w:hAnsi="Times New Roman" w:cs="Times New Roman"/>
          <w:b/>
          <w:bCs/>
          <w:spacing w:val="2"/>
        </w:rPr>
        <w:t>电解液接触者急救措施：</w:t>
      </w:r>
      <w:r>
        <w:rPr>
          <w:rFonts w:ascii="Times New Roman" w:hAnsi="Times New Roman" w:cs="Times New Roman"/>
          <w:b/>
          <w:bCs/>
          <w:spacing w:val="-30"/>
        </w:rPr>
        <w:t xml:space="preserve"> </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 xml:space="preserve">吸入:迅速脱离现场至空气新鲜处。保持呼吸道通畅。如呼吸困难，给输氧如呼吸停,立即进行人工呼吸。就医。 </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 xml:space="preserve">皮肤接触:脱去被污染的衣着,用肥皂水和清水彻底冲洗皮肤至少15min，如刺激加深或持续,应进行医疗治疗。 </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眼睛接触:提起眼睑,用流动清水或生理盐水冲洗,不可用有机溶剂冲洗就医。</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食入:饮足量温水,催吐,就医。</w:t>
      </w:r>
    </w:p>
    <w:p>
      <w:pPr>
        <w:pStyle w:val="3"/>
        <w:kinsoku w:val="0"/>
        <w:overflowPunct w:val="0"/>
        <w:spacing w:before="240" w:after="240"/>
        <w:ind w:left="380" w:right="499"/>
        <w:rPr>
          <w:rFonts w:ascii="Times New Roman" w:hAnsi="Times New Roman" w:cs="Times New Roman"/>
        </w:rPr>
      </w:pPr>
      <w:r>
        <w:rPr>
          <w:rFonts w:ascii="Times New Roman" w:hAnsi="Times New Roman" w:cs="Times New Roman"/>
        </w:rPr>
        <w:t xml:space="preserve">4.1.8 废水处置装置事故性排放分析与处置 </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建设废水排放主要潜在的事故情况是厂区污水处理站出现故障，废水未经过预处理直接进入六合区污水处理厂，发生此类情况时，项目新增的生产废水会对纳污水体滁河的水质造成较大的冲击。因此项目拟设置250m</w:t>
      </w:r>
      <w:r>
        <w:rPr>
          <w:rFonts w:ascii="Times New Roman" w:hAnsi="Times New Roman" w:cs="Times New Roman"/>
          <w:vertAlign w:val="superscript"/>
        </w:rPr>
        <w:t>3</w:t>
      </w:r>
      <w:r>
        <w:rPr>
          <w:rFonts w:ascii="Times New Roman" w:hAnsi="Times New Roman" w:cs="Times New Roman"/>
        </w:rPr>
        <w:t>事故应急池，当污水处理站发生故障不能正常运行导致废水排放无法达标时，废水将导入事故池内，待处理设施修复正常以后处理达标再排放；如果在规定的时间内（事故池满时）废水处理设施仍不能恢复正常运行，将暂时停产。</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事故应急池有效容积应按《水体环境风险防控要点》(试行)中公式计算：</w:t>
      </w:r>
    </w:p>
    <w:p>
      <w:pPr>
        <w:pStyle w:val="5"/>
        <w:kinsoku w:val="0"/>
        <w:overflowPunct w:val="0"/>
        <w:spacing w:before="142"/>
        <w:ind w:left="482" w:firstLine="504"/>
        <w:jc w:val="center"/>
        <w:rPr>
          <w:rFonts w:ascii="Times New Roman" w:hAnsi="Times New Roman" w:cs="Times New Roman"/>
        </w:rPr>
      </w:pPr>
      <w:r>
        <w:rPr>
          <w:rFonts w:ascii="Times New Roman" w:hAnsi="Times New Roman" w:eastAsia="等线" w:cs="Times New Roman"/>
          <w:w w:val="105"/>
        </w:rPr>
        <w:t>V</w:t>
      </w:r>
      <w:r>
        <w:rPr>
          <w:rFonts w:ascii="Times New Roman" w:hAnsi="Times New Roman" w:cs="Times New Roman"/>
          <w:w w:val="105"/>
        </w:rPr>
        <w:t>总=（V1+V2-V3）max+V4+V5</w:t>
      </w:r>
    </w:p>
    <w:p>
      <w:pPr>
        <w:pStyle w:val="5"/>
        <w:kinsoku w:val="0"/>
        <w:overflowPunct w:val="0"/>
        <w:spacing w:before="149" w:line="362" w:lineRule="auto"/>
        <w:ind w:left="248" w:right="242" w:firstLine="472"/>
        <w:rPr>
          <w:rFonts w:ascii="Times New Roman" w:hAnsi="Times New Roman" w:cs="Times New Roman"/>
        </w:rPr>
      </w:pPr>
      <w:r>
        <w:rPr>
          <w:rFonts w:ascii="Times New Roman" w:hAnsi="Times New Roman" w:eastAsia="等线" w:cs="Times New Roman"/>
          <w:spacing w:val="-2"/>
        </w:rPr>
        <w:t>V1---</w:t>
      </w:r>
      <w:r>
        <w:rPr>
          <w:rFonts w:ascii="Times New Roman" w:hAnsi="Times New Roman" w:cs="Times New Roman"/>
          <w:spacing w:val="-2"/>
        </w:rPr>
        <w:t>收集系统范围内发生事故的一个罐组或一套装置的物料量（注：储存</w:t>
      </w:r>
      <w:r>
        <w:rPr>
          <w:rFonts w:ascii="Times New Roman" w:hAnsi="Times New Roman" w:cs="Times New Roman"/>
        </w:rPr>
        <w:t>相同物料的罐组按一个最大储罐计，装置物料量按存留最大物料量的一台反应</w:t>
      </w:r>
      <w:r>
        <w:rPr>
          <w:rFonts w:ascii="Times New Roman" w:hAnsi="Times New Roman" w:cs="Times New Roman"/>
          <w:w w:val="105"/>
        </w:rPr>
        <w:t>器或中间储罐计）；</w:t>
      </w:r>
    </w:p>
    <w:p>
      <w:pPr>
        <w:pStyle w:val="5"/>
        <w:kinsoku w:val="0"/>
        <w:overflowPunct w:val="0"/>
        <w:spacing w:before="49"/>
        <w:ind w:left="723" w:firstLine="504"/>
        <w:rPr>
          <w:rFonts w:ascii="Times New Roman" w:hAnsi="Times New Roman" w:cs="Times New Roman"/>
        </w:rPr>
      </w:pPr>
      <w:r>
        <w:rPr>
          <w:rFonts w:ascii="Times New Roman" w:hAnsi="Times New Roman" w:eastAsia="等线" w:cs="Times New Roman"/>
          <w:w w:val="105"/>
        </w:rPr>
        <w:t>V2---</w:t>
      </w:r>
      <w:r>
        <w:rPr>
          <w:rFonts w:ascii="Times New Roman" w:hAnsi="Times New Roman" w:cs="Times New Roman"/>
          <w:w w:val="105"/>
        </w:rPr>
        <w:t>发生事故的储罐或装置的消防水量，m</w:t>
      </w:r>
      <w:r>
        <w:rPr>
          <w:rFonts w:ascii="Times New Roman" w:hAnsi="Times New Roman" w:cs="Times New Roman"/>
          <w:w w:val="105"/>
          <w:position w:val="11"/>
          <w:sz w:val="16"/>
          <w:szCs w:val="16"/>
        </w:rPr>
        <w:t>3</w:t>
      </w:r>
      <w:r>
        <w:rPr>
          <w:rFonts w:ascii="Times New Roman" w:hAnsi="Times New Roman" w:cs="Times New Roman"/>
          <w:w w:val="105"/>
        </w:rPr>
        <w:t>；</w:t>
      </w:r>
    </w:p>
    <w:p>
      <w:pPr>
        <w:pStyle w:val="5"/>
        <w:kinsoku w:val="0"/>
        <w:overflowPunct w:val="0"/>
        <w:spacing w:before="149" w:line="348" w:lineRule="auto"/>
        <w:ind w:left="723" w:right="1019" w:firstLine="468"/>
        <w:rPr>
          <w:rFonts w:ascii="Times New Roman" w:hAnsi="Times New Roman" w:cs="Times New Roman"/>
          <w:spacing w:val="-52"/>
        </w:rPr>
      </w:pPr>
      <w:r>
        <w:rPr>
          <w:rFonts w:ascii="Times New Roman" w:hAnsi="Times New Roman" w:eastAsia="等线" w:cs="Times New Roman"/>
          <w:spacing w:val="-3"/>
        </w:rPr>
        <w:t xml:space="preserve">V3 </w:t>
      </w:r>
      <w:r>
        <w:rPr>
          <w:rFonts w:ascii="Times New Roman" w:hAnsi="Times New Roman" w:eastAsia="等线" w:cs="Times New Roman"/>
        </w:rPr>
        <w:t>---</w:t>
      </w:r>
      <w:r>
        <w:rPr>
          <w:rFonts w:ascii="Times New Roman" w:hAnsi="Times New Roman" w:cs="Times New Roman"/>
        </w:rPr>
        <w:t>发生事故时可以传输到其他储存或处理设施的物料量，m</w:t>
      </w:r>
      <w:r>
        <w:rPr>
          <w:rFonts w:ascii="Times New Roman" w:hAnsi="Times New Roman" w:cs="Times New Roman"/>
          <w:position w:val="11"/>
          <w:sz w:val="16"/>
          <w:szCs w:val="16"/>
        </w:rPr>
        <w:t>3</w:t>
      </w:r>
      <w:r>
        <w:rPr>
          <w:rFonts w:ascii="Times New Roman" w:hAnsi="Times New Roman" w:cs="Times New Roman"/>
        </w:rPr>
        <w:t>；</w:t>
      </w:r>
      <w:r>
        <w:rPr>
          <w:rFonts w:ascii="Times New Roman" w:hAnsi="Times New Roman" w:cs="Times New Roman"/>
          <w:spacing w:val="-52"/>
        </w:rPr>
        <w:t xml:space="preserve"> </w:t>
      </w:r>
    </w:p>
    <w:p>
      <w:pPr>
        <w:pStyle w:val="5"/>
        <w:kinsoku w:val="0"/>
        <w:overflowPunct w:val="0"/>
        <w:spacing w:before="149" w:line="348" w:lineRule="auto"/>
        <w:ind w:left="723" w:right="1019" w:firstLine="468"/>
        <w:rPr>
          <w:rFonts w:ascii="Times New Roman" w:hAnsi="Times New Roman" w:cs="Times New Roman"/>
        </w:rPr>
      </w:pPr>
      <w:r>
        <w:rPr>
          <w:rFonts w:ascii="Times New Roman" w:hAnsi="Times New Roman" w:cs="Times New Roman"/>
          <w:spacing w:val="-3"/>
        </w:rPr>
        <w:t xml:space="preserve">V4 </w:t>
      </w:r>
      <w:r>
        <w:rPr>
          <w:rFonts w:ascii="Times New Roman" w:hAnsi="Times New Roman" w:cs="Times New Roman"/>
          <w:spacing w:val="32"/>
        </w:rPr>
        <w:t xml:space="preserve"> </w:t>
      </w:r>
      <w:r>
        <w:rPr>
          <w:rFonts w:ascii="Times New Roman" w:hAnsi="Times New Roman" w:cs="Times New Roman"/>
        </w:rPr>
        <w:t>---发生事故时仍必须进入该收集系统的生产废水量，m</w:t>
      </w:r>
      <w:r>
        <w:rPr>
          <w:rFonts w:ascii="Times New Roman" w:hAnsi="Times New Roman" w:cs="Times New Roman"/>
          <w:position w:val="11"/>
          <w:sz w:val="16"/>
          <w:szCs w:val="16"/>
        </w:rPr>
        <w:t>3</w:t>
      </w:r>
      <w:r>
        <w:rPr>
          <w:rFonts w:ascii="Times New Roman" w:hAnsi="Times New Roman" w:cs="Times New Roman"/>
        </w:rPr>
        <w:t>;</w:t>
      </w:r>
    </w:p>
    <w:p>
      <w:pPr>
        <w:pStyle w:val="5"/>
        <w:kinsoku w:val="0"/>
        <w:overflowPunct w:val="0"/>
        <w:spacing w:before="13"/>
        <w:ind w:left="723" w:firstLine="468"/>
        <w:rPr>
          <w:rFonts w:ascii="Times New Roman" w:hAnsi="Times New Roman" w:cs="Times New Roman"/>
        </w:rPr>
      </w:pPr>
      <w:r>
        <w:rPr>
          <w:rFonts w:ascii="Times New Roman" w:hAnsi="Times New Roman" w:eastAsia="等线" w:cs="Times New Roman"/>
          <w:spacing w:val="-3"/>
        </w:rPr>
        <w:t xml:space="preserve">V5    </w:t>
      </w:r>
      <w:r>
        <w:rPr>
          <w:rFonts w:ascii="Times New Roman" w:hAnsi="Times New Roman" w:eastAsia="等线" w:cs="Times New Roman"/>
          <w:spacing w:val="8"/>
        </w:rPr>
        <w:t xml:space="preserve"> </w:t>
      </w:r>
      <w:r>
        <w:rPr>
          <w:rFonts w:ascii="Times New Roman" w:hAnsi="Times New Roman" w:eastAsia="等线" w:cs="Times New Roman"/>
        </w:rPr>
        <w:t>---</w:t>
      </w:r>
      <w:r>
        <w:rPr>
          <w:rFonts w:ascii="Times New Roman" w:hAnsi="Times New Roman" w:cs="Times New Roman"/>
        </w:rPr>
        <w:t>发生事故时可能进入该收集系统的降雨量，m</w:t>
      </w:r>
      <w:r>
        <w:rPr>
          <w:rFonts w:ascii="Times New Roman" w:hAnsi="Times New Roman" w:cs="Times New Roman"/>
          <w:position w:val="11"/>
          <w:sz w:val="16"/>
          <w:szCs w:val="16"/>
        </w:rPr>
        <w:t>3</w:t>
      </w:r>
      <w:r>
        <w:rPr>
          <w:rFonts w:ascii="Times New Roman" w:hAnsi="Times New Roman" w:cs="Times New Roman"/>
        </w:rPr>
        <w:t>；</w:t>
      </w:r>
    </w:p>
    <w:p>
      <w:pPr>
        <w:pStyle w:val="5"/>
        <w:kinsoku w:val="0"/>
        <w:overflowPunct w:val="0"/>
        <w:spacing w:before="189"/>
        <w:ind w:left="477" w:firstLine="504"/>
        <w:jc w:val="center"/>
        <w:rPr>
          <w:rFonts w:ascii="Times New Roman" w:hAnsi="Times New Roman" w:eastAsia="等线" w:cs="Times New Roman"/>
        </w:rPr>
      </w:pPr>
      <w:r>
        <w:rPr>
          <w:rFonts w:ascii="Times New Roman" w:hAnsi="Times New Roman" w:eastAsia="等线" w:cs="Times New Roman"/>
          <w:w w:val="105"/>
        </w:rPr>
        <w:t>V5=10qF</w:t>
      </w:r>
    </w:p>
    <w:p>
      <w:pPr>
        <w:pStyle w:val="5"/>
        <w:kinsoku w:val="0"/>
        <w:overflowPunct w:val="0"/>
        <w:spacing w:before="113"/>
        <w:ind w:left="723" w:firstLine="504"/>
        <w:rPr>
          <w:rFonts w:ascii="Times New Roman" w:hAnsi="Times New Roman" w:cs="Times New Roman"/>
        </w:rPr>
      </w:pPr>
      <w:r>
        <w:rPr>
          <w:rFonts w:ascii="Times New Roman" w:hAnsi="Times New Roman" w:eastAsia="等线" w:cs="Times New Roman"/>
          <w:w w:val="105"/>
        </w:rPr>
        <w:t>q</w:t>
      </w:r>
      <w:r>
        <w:rPr>
          <w:rFonts w:ascii="Times New Roman" w:hAnsi="Times New Roman" w:eastAsia="等线" w:cs="Times New Roman"/>
          <w:spacing w:val="-36"/>
          <w:w w:val="105"/>
        </w:rPr>
        <w:t xml:space="preserve"> </w:t>
      </w:r>
      <w:r>
        <w:rPr>
          <w:rFonts w:ascii="Times New Roman" w:hAnsi="Times New Roman" w:eastAsia="等线" w:cs="Times New Roman"/>
          <w:w w:val="105"/>
        </w:rPr>
        <w:t>---</w:t>
      </w:r>
      <w:r>
        <w:rPr>
          <w:rFonts w:ascii="Times New Roman" w:hAnsi="Times New Roman" w:cs="Times New Roman"/>
          <w:w w:val="105"/>
        </w:rPr>
        <w:t>降雨强度，mm；按平均日降雨量；</w:t>
      </w:r>
    </w:p>
    <w:p>
      <w:pPr>
        <w:pStyle w:val="5"/>
        <w:kinsoku w:val="0"/>
        <w:overflowPunct w:val="0"/>
        <w:spacing w:before="182"/>
        <w:ind w:left="482" w:firstLine="504"/>
        <w:jc w:val="center"/>
        <w:rPr>
          <w:rFonts w:ascii="Times New Roman" w:hAnsi="Times New Roman" w:eastAsia="等线" w:cs="Times New Roman"/>
        </w:rPr>
      </w:pPr>
      <w:r>
        <w:rPr>
          <w:rFonts w:ascii="Times New Roman" w:hAnsi="Times New Roman" w:eastAsia="等线" w:cs="Times New Roman"/>
          <w:w w:val="105"/>
        </w:rPr>
        <w:t>q=qa/n</w:t>
      </w:r>
    </w:p>
    <w:p>
      <w:pPr>
        <w:pStyle w:val="5"/>
        <w:kinsoku w:val="0"/>
        <w:overflowPunct w:val="0"/>
        <w:spacing w:before="45" w:line="367" w:lineRule="auto"/>
        <w:ind w:left="239" w:right="254" w:firstLine="480"/>
        <w:rPr>
          <w:rFonts w:ascii="Times New Roman" w:hAnsi="Times New Roman" w:cs="Times New Roman"/>
          <w:spacing w:val="27"/>
        </w:rPr>
      </w:pPr>
      <w:r>
        <w:rPr>
          <w:rFonts w:ascii="Times New Roman" w:hAnsi="Times New Roman" w:eastAsia="等线" w:cs="Times New Roman"/>
        </w:rPr>
        <w:t>qa---</w:t>
      </w:r>
      <w:r>
        <w:rPr>
          <w:rFonts w:ascii="Times New Roman" w:hAnsi="Times New Roman" w:cs="Times New Roman"/>
        </w:rPr>
        <w:t>年平均降雨量，mm，根据南京市多年气象资料取958.5；</w:t>
      </w:r>
      <w:r>
        <w:rPr>
          <w:rFonts w:ascii="Times New Roman" w:hAnsi="Times New Roman" w:cs="Times New Roman"/>
          <w:spacing w:val="27"/>
        </w:rPr>
        <w:t xml:space="preserve"> </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n---年平均降雨日数，根据南京市多年气象资料取87。</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F---必须进入事故废水收集系统的雨水汇水面积，ha，取生产区域占地面积，6.96ha。</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本评价主要考虑发生事故排放的情况，V1按照1#、2#主生产车间设备冲洗水、电池清洗水及地面冲洗水单次废水产生量21.6m3计，V2按照1#/、2#生产车间消防用水量30L/s及事故处理所需时间30min核算结果为54m3，V3按厂区事故沟容积60m3计，V4取0，V5核算结果为76.68m3，因此厂区所需事故池总容积为212.68m3；因此项目拟设置的250m3事故应急池可以满足事故废水收集的要求，只要能够按应急预案要求处理得当，事故时的废水就不会对污水处理厂造成冲击，进而引发水污染事故。</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 xml:space="preserve">（2）事故水收集处理 </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考虑本项目的火灾、爆炸事故引发的次生/伴生影响。发生火灾、爆炸事故后，如果厂区内没有事故污水收集设施，含有化学物质的消防水直排后可能会对厂区附近的水体造成污染。本项目新建由250m3的事故水收集池及配套泵、管线，收集发生火灾进行事故应急处理时产生的废水，进行调节处理后，再将收集后的废水限流排入污水管网，满足事故废水和消防废水储存的要求，发生事故后不会造成对厂外水体的影响。事故水池采用钢筋混凝土结构，并且采取防渗、防腐、防冻、防洪、抗浮和抗震措施，这样在厂区发生火灾爆炸时，消防灭火过程产生的污水在通过明沟和管线进入事故池，不会在事故池内渗透、泄漏到土壤和污染地下水。</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本项目按清污分流、雨污分流的原则设置排水系统，对各装置各单元排出的污水进行分类处理、分级控制，正常状态下排水分两部分：生活污水、工艺废水通过污水收集池收集后排入园区污水处理厂；雨水进入雨水管网系统。</w:t>
      </w:r>
    </w:p>
    <w:p>
      <w:pPr>
        <w:pStyle w:val="5"/>
        <w:kinsoku w:val="0"/>
        <w:overflowPunct w:val="0"/>
        <w:spacing w:before="45" w:line="367" w:lineRule="auto"/>
        <w:ind w:left="239" w:right="254" w:firstLine="480"/>
        <w:rPr>
          <w:rFonts w:ascii="Times New Roman" w:hAnsi="Times New Roman" w:cs="Times New Roman"/>
        </w:rPr>
      </w:pPr>
      <w:r>
        <w:rPr>
          <w:rFonts w:ascii="Times New Roman" w:hAnsi="Times New Roman" w:cs="Times New Roman"/>
        </w:rPr>
        <w:t>在事故状态下，消防废水及泄漏的物料直接进入污水管网，会对污水处理厂处理装置产生很大的冲击且容量难以满足要求，因此，在未进入污水管网前，应将事故污水引入事故应急池存储，事故过后，限流接入园区污水管网。另外，火灾、爆炸事故发生时，污水提升泵也可能会随之被破坏，应启用备用的污水泵。</w:t>
      </w:r>
    </w:p>
    <w:p>
      <w:pPr>
        <w:numPr>
          <w:ilvl w:val="1"/>
          <w:numId w:val="1"/>
        </w:numPr>
        <w:autoSpaceDE w:val="0"/>
        <w:autoSpaceDN w:val="0"/>
        <w:adjustRightInd w:val="0"/>
        <w:snapToGrid w:val="0"/>
        <w:spacing w:line="600" w:lineRule="exact"/>
        <w:ind w:left="1072" w:hanging="1072" w:firstLineChars="0"/>
        <w:jc w:val="left"/>
        <w:textAlignment w:val="baseline"/>
        <w:outlineLvl w:val="1"/>
        <w:rPr>
          <w:rFonts w:ascii="Times New Roman" w:hAnsi="Times New Roman" w:eastAsia="黑体" w:cs="Times New Roman"/>
          <w:b/>
          <w:bCs/>
          <w:sz w:val="30"/>
          <w:szCs w:val="32"/>
        </w:rPr>
      </w:pPr>
      <w:r>
        <w:rPr>
          <w:rFonts w:ascii="Times New Roman" w:hAnsi="Times New Roman" w:eastAsia="黑体" w:cs="Times New Roman"/>
          <w:b/>
          <w:bCs/>
          <w:sz w:val="30"/>
          <w:szCs w:val="32"/>
        </w:rPr>
        <w:t>应急预案</w:t>
      </w:r>
    </w:p>
    <w:p>
      <w:pPr>
        <w:numPr>
          <w:ilvl w:val="2"/>
          <w:numId w:val="1"/>
        </w:numPr>
        <w:autoSpaceDE w:val="0"/>
        <w:autoSpaceDN w:val="0"/>
        <w:adjustRightInd w:val="0"/>
        <w:snapToGrid w:val="0"/>
        <w:spacing w:line="600" w:lineRule="exact"/>
        <w:ind w:left="0" w:firstLine="0" w:firstLineChars="0"/>
        <w:jc w:val="left"/>
        <w:textAlignment w:val="baseline"/>
        <w:outlineLvl w:val="2"/>
        <w:rPr>
          <w:rFonts w:ascii="Times New Roman" w:hAnsi="Times New Roman" w:eastAsia="黑体" w:cs="Times New Roman"/>
          <w:b/>
          <w:snapToGrid w:val="0"/>
          <w:kern w:val="0"/>
          <w:sz w:val="28"/>
          <w:szCs w:val="28"/>
        </w:rPr>
      </w:pPr>
      <w:r>
        <w:rPr>
          <w:rFonts w:ascii="Times New Roman" w:hAnsi="Times New Roman" w:eastAsia="黑体" w:cs="Times New Roman"/>
          <w:b/>
          <w:snapToGrid w:val="0"/>
          <w:kern w:val="0"/>
          <w:sz w:val="28"/>
          <w:szCs w:val="28"/>
        </w:rPr>
        <w:t>应急预案原则</w:t>
      </w:r>
    </w:p>
    <w:p>
      <w:pPr>
        <w:spacing w:line="440" w:lineRule="exact"/>
        <w:ind w:firstLine="480"/>
        <w:rPr>
          <w:rFonts w:ascii="Times New Roman" w:hAnsi="Times New Roman" w:cs="Times New Roman"/>
        </w:rPr>
      </w:pPr>
      <w:r>
        <w:rPr>
          <w:rFonts w:ascii="Times New Roman" w:hAnsi="Times New Roman" w:cs="Times New Roman"/>
        </w:rPr>
        <w:t>坚持局部利益服从全局利益，一般工作服从应急工作的基本原则。遵循“以防为主，防消结合”的消防方针；追求最大限度地减少人员伤亡和对环境的破坏及财产损失，加强自身抵御能力，采取快、准、稳战术，利用有限的人力、物力资源，把事故消灭在初起阶段。</w:t>
      </w:r>
    </w:p>
    <w:p>
      <w:pPr>
        <w:numPr>
          <w:ilvl w:val="2"/>
          <w:numId w:val="1"/>
        </w:numPr>
        <w:autoSpaceDE w:val="0"/>
        <w:autoSpaceDN w:val="0"/>
        <w:adjustRightInd w:val="0"/>
        <w:snapToGrid w:val="0"/>
        <w:spacing w:line="600" w:lineRule="exact"/>
        <w:ind w:left="0" w:firstLine="0" w:firstLineChars="0"/>
        <w:jc w:val="left"/>
        <w:textAlignment w:val="baseline"/>
        <w:outlineLvl w:val="2"/>
        <w:rPr>
          <w:rFonts w:ascii="Times New Roman" w:hAnsi="Times New Roman" w:eastAsia="黑体" w:cs="Times New Roman"/>
          <w:b/>
          <w:snapToGrid w:val="0"/>
          <w:kern w:val="0"/>
          <w:sz w:val="28"/>
          <w:szCs w:val="28"/>
        </w:rPr>
      </w:pPr>
      <w:r>
        <w:rPr>
          <w:rFonts w:ascii="Times New Roman" w:hAnsi="Times New Roman" w:eastAsia="黑体" w:cs="Times New Roman"/>
          <w:b/>
          <w:snapToGrid w:val="0"/>
          <w:kern w:val="0"/>
          <w:sz w:val="28"/>
          <w:szCs w:val="28"/>
        </w:rPr>
        <w:t>应急系统人员组成及职责</w:t>
      </w:r>
    </w:p>
    <w:p>
      <w:pPr>
        <w:kinsoku w:val="0"/>
        <w:overflowPunct w:val="0"/>
        <w:autoSpaceDE w:val="0"/>
        <w:autoSpaceDN w:val="0"/>
        <w:adjustRightInd w:val="0"/>
        <w:spacing w:line="440" w:lineRule="exact"/>
        <w:ind w:firstLine="488"/>
        <w:rPr>
          <w:rFonts w:ascii="Times New Roman" w:hAnsi="Times New Roman" w:cs="Times New Roman"/>
          <w:spacing w:val="2"/>
          <w:kern w:val="0"/>
          <w:szCs w:val="24"/>
        </w:rPr>
      </w:pPr>
      <w:r>
        <w:rPr>
          <w:rFonts w:ascii="Times New Roman" w:hAnsi="Times New Roman" w:cs="Times New Roman"/>
          <w:spacing w:val="2"/>
          <w:kern w:val="0"/>
          <w:szCs w:val="24"/>
        </w:rPr>
        <w:t>（1）公司成立事故应急救援指挥部，由总指挥、副总指挥和成员组成。指挥中心设在办公楼，具体位置视实际情况调整。</w:t>
      </w:r>
    </w:p>
    <w:p>
      <w:pPr>
        <w:kinsoku w:val="0"/>
        <w:overflowPunct w:val="0"/>
        <w:autoSpaceDE w:val="0"/>
        <w:autoSpaceDN w:val="0"/>
        <w:adjustRightInd w:val="0"/>
        <w:spacing w:line="440" w:lineRule="exact"/>
        <w:ind w:firstLine="488"/>
        <w:rPr>
          <w:rFonts w:ascii="Times New Roman" w:hAnsi="Times New Roman" w:cs="Times New Roman"/>
          <w:spacing w:val="2"/>
          <w:kern w:val="0"/>
          <w:szCs w:val="24"/>
        </w:rPr>
      </w:pPr>
      <w:r>
        <w:rPr>
          <w:rFonts w:ascii="Times New Roman" w:hAnsi="Times New Roman" w:cs="Times New Roman"/>
          <w:spacing w:val="2"/>
          <w:kern w:val="0"/>
          <w:szCs w:val="24"/>
        </w:rPr>
        <w:t>（2）夜间紧急指挥系统，由公司值夜主管负责组成临时指挥系统，在公司指挥系统人员未到之前行使指挥系统职责、权力，并负责向厂指挥系统汇报事故、抢险有关情况。应急成员负责通知各应变人员的召回，担负临时电讯联络工作，负责将事故信息通报应急救援系统有关人员及有关部门。各救援小组在临时指挥系统的组织指挥下，按常规运行，直到应变人员赶到。</w:t>
      </w:r>
    </w:p>
    <w:p>
      <w:pPr>
        <w:kinsoku w:val="0"/>
        <w:overflowPunct w:val="0"/>
        <w:autoSpaceDE w:val="0"/>
        <w:autoSpaceDN w:val="0"/>
        <w:adjustRightInd w:val="0"/>
        <w:spacing w:line="440" w:lineRule="exact"/>
        <w:ind w:firstLine="488"/>
        <w:rPr>
          <w:rFonts w:ascii="Times New Roman" w:hAnsi="Times New Roman" w:cs="Times New Roman"/>
          <w:spacing w:val="2"/>
          <w:kern w:val="0"/>
          <w:szCs w:val="24"/>
        </w:rPr>
      </w:pPr>
      <w:r>
        <w:rPr>
          <w:rFonts w:ascii="Times New Roman" w:hAnsi="Times New Roman" w:cs="Times New Roman"/>
          <w:spacing w:val="2"/>
          <w:kern w:val="0"/>
          <w:szCs w:val="24"/>
        </w:rPr>
        <w:t>（3）指挥部职责：</w:t>
      </w:r>
    </w:p>
    <w:p>
      <w:pPr>
        <w:kinsoku w:val="0"/>
        <w:overflowPunct w:val="0"/>
        <w:autoSpaceDE w:val="0"/>
        <w:autoSpaceDN w:val="0"/>
        <w:adjustRightInd w:val="0"/>
        <w:spacing w:line="440" w:lineRule="exact"/>
        <w:ind w:firstLine="488"/>
        <w:rPr>
          <w:rFonts w:ascii="Times New Roman" w:hAnsi="Times New Roman" w:cs="Times New Roman"/>
          <w:spacing w:val="2"/>
          <w:kern w:val="0"/>
          <w:szCs w:val="24"/>
        </w:rPr>
      </w:pPr>
      <w:r>
        <w:rPr>
          <w:rFonts w:hint="eastAsia" w:ascii="宋体" w:hAnsi="宋体" w:eastAsia="宋体" w:cs="宋体"/>
          <w:spacing w:val="2"/>
          <w:kern w:val="0"/>
          <w:szCs w:val="24"/>
        </w:rPr>
        <w:t>①</w:t>
      </w:r>
      <w:r>
        <w:rPr>
          <w:rFonts w:ascii="Times New Roman" w:hAnsi="Times New Roman" w:cs="Times New Roman"/>
          <w:spacing w:val="2"/>
          <w:kern w:val="0"/>
          <w:szCs w:val="24"/>
        </w:rPr>
        <w:t>发布和解除应急救援命令信号；</w:t>
      </w:r>
    </w:p>
    <w:p>
      <w:pPr>
        <w:kinsoku w:val="0"/>
        <w:overflowPunct w:val="0"/>
        <w:autoSpaceDE w:val="0"/>
        <w:autoSpaceDN w:val="0"/>
        <w:adjustRightInd w:val="0"/>
        <w:spacing w:line="440" w:lineRule="exact"/>
        <w:ind w:firstLine="488"/>
        <w:rPr>
          <w:rFonts w:ascii="Times New Roman" w:hAnsi="Times New Roman" w:cs="Times New Roman"/>
          <w:spacing w:val="2"/>
          <w:kern w:val="0"/>
          <w:szCs w:val="24"/>
        </w:rPr>
      </w:pPr>
      <w:r>
        <w:rPr>
          <w:rFonts w:hint="eastAsia" w:ascii="宋体" w:hAnsi="宋体" w:eastAsia="宋体" w:cs="宋体"/>
          <w:spacing w:val="2"/>
          <w:kern w:val="0"/>
          <w:szCs w:val="24"/>
        </w:rPr>
        <w:t>②</w:t>
      </w:r>
      <w:r>
        <w:rPr>
          <w:rFonts w:ascii="Times New Roman" w:hAnsi="Times New Roman" w:cs="Times New Roman"/>
          <w:spacing w:val="2"/>
          <w:kern w:val="0"/>
          <w:szCs w:val="24"/>
        </w:rPr>
        <w:t>全盘组织指挥应急救援队伍开展事故应急救援行动、善后处理，生产复原；</w:t>
      </w:r>
    </w:p>
    <w:p>
      <w:pPr>
        <w:kinsoku w:val="0"/>
        <w:overflowPunct w:val="0"/>
        <w:autoSpaceDE w:val="0"/>
        <w:autoSpaceDN w:val="0"/>
        <w:adjustRightInd w:val="0"/>
        <w:spacing w:line="440" w:lineRule="exact"/>
        <w:ind w:firstLine="488"/>
        <w:rPr>
          <w:rFonts w:ascii="Times New Roman" w:hAnsi="Times New Roman" w:cs="Times New Roman"/>
          <w:spacing w:val="2"/>
          <w:kern w:val="0"/>
          <w:szCs w:val="24"/>
        </w:rPr>
      </w:pPr>
      <w:r>
        <w:rPr>
          <w:rFonts w:hint="eastAsia" w:ascii="宋体" w:hAnsi="宋体" w:eastAsia="宋体" w:cs="宋体"/>
          <w:spacing w:val="2"/>
          <w:kern w:val="0"/>
          <w:szCs w:val="24"/>
        </w:rPr>
        <w:t>③</w:t>
      </w:r>
      <w:r>
        <w:rPr>
          <w:rFonts w:ascii="Times New Roman" w:hAnsi="Times New Roman" w:cs="Times New Roman"/>
          <w:spacing w:val="2"/>
          <w:kern w:val="0"/>
          <w:szCs w:val="24"/>
        </w:rPr>
        <w:t>负责及时向上级有关部门（公安消防、安监、环保、质检、卫监）报告发生的事故；</w:t>
      </w:r>
    </w:p>
    <w:p>
      <w:pPr>
        <w:kinsoku w:val="0"/>
        <w:overflowPunct w:val="0"/>
        <w:autoSpaceDE w:val="0"/>
        <w:autoSpaceDN w:val="0"/>
        <w:adjustRightInd w:val="0"/>
        <w:spacing w:line="440" w:lineRule="exact"/>
        <w:ind w:firstLine="488"/>
        <w:rPr>
          <w:rFonts w:ascii="Times New Roman" w:hAnsi="Times New Roman" w:cs="Times New Roman"/>
          <w:spacing w:val="2"/>
          <w:kern w:val="0"/>
          <w:szCs w:val="24"/>
        </w:rPr>
      </w:pPr>
      <w:r>
        <w:rPr>
          <w:rFonts w:hint="eastAsia" w:ascii="宋体" w:hAnsi="宋体" w:eastAsia="宋体" w:cs="宋体"/>
          <w:spacing w:val="2"/>
          <w:kern w:val="0"/>
          <w:szCs w:val="24"/>
        </w:rPr>
        <w:t>④</w:t>
      </w:r>
      <w:r>
        <w:rPr>
          <w:rFonts w:ascii="Times New Roman" w:hAnsi="Times New Roman" w:cs="Times New Roman"/>
          <w:spacing w:val="2"/>
          <w:kern w:val="0"/>
          <w:szCs w:val="24"/>
        </w:rPr>
        <w:t>及时通报友邻单位，告知灾情程度、风向等事故情况，必要时向有关单位 发出支援请求；</w:t>
      </w:r>
    </w:p>
    <w:p>
      <w:pPr>
        <w:kinsoku w:val="0"/>
        <w:overflowPunct w:val="0"/>
        <w:autoSpaceDE w:val="0"/>
        <w:autoSpaceDN w:val="0"/>
        <w:adjustRightInd w:val="0"/>
        <w:spacing w:line="440" w:lineRule="exact"/>
        <w:ind w:firstLine="488"/>
        <w:rPr>
          <w:rFonts w:ascii="Times New Roman" w:hAnsi="Times New Roman" w:cs="Times New Roman"/>
          <w:spacing w:val="2"/>
          <w:kern w:val="0"/>
          <w:szCs w:val="24"/>
        </w:rPr>
      </w:pPr>
      <w:r>
        <w:rPr>
          <w:rFonts w:hint="eastAsia" w:ascii="宋体" w:hAnsi="宋体" w:eastAsia="宋体" w:cs="宋体"/>
          <w:spacing w:val="2"/>
          <w:kern w:val="0"/>
          <w:szCs w:val="24"/>
        </w:rPr>
        <w:t>⑤</w:t>
      </w:r>
      <w:r>
        <w:rPr>
          <w:rFonts w:ascii="Times New Roman" w:hAnsi="Times New Roman" w:cs="Times New Roman"/>
          <w:spacing w:val="2"/>
          <w:kern w:val="0"/>
          <w:szCs w:val="24"/>
        </w:rPr>
        <w:t>负责组织或协调上级主管部门对事故的调查处理，事故的整改。</w:t>
      </w:r>
    </w:p>
    <w:p>
      <w:pPr>
        <w:numPr>
          <w:ilvl w:val="2"/>
          <w:numId w:val="1"/>
        </w:numPr>
        <w:autoSpaceDE w:val="0"/>
        <w:autoSpaceDN w:val="0"/>
        <w:adjustRightInd w:val="0"/>
        <w:snapToGrid w:val="0"/>
        <w:spacing w:line="600" w:lineRule="exact"/>
        <w:ind w:left="0" w:firstLine="0" w:firstLineChars="0"/>
        <w:jc w:val="left"/>
        <w:textAlignment w:val="baseline"/>
        <w:outlineLvl w:val="2"/>
        <w:rPr>
          <w:rFonts w:ascii="Times New Roman" w:hAnsi="Times New Roman" w:eastAsia="黑体" w:cs="Times New Roman"/>
          <w:b/>
          <w:snapToGrid w:val="0"/>
          <w:kern w:val="0"/>
          <w:sz w:val="28"/>
          <w:szCs w:val="28"/>
        </w:rPr>
      </w:pPr>
      <w:r>
        <w:rPr>
          <w:rFonts w:ascii="Times New Roman" w:hAnsi="Times New Roman" w:eastAsia="黑体" w:cs="Times New Roman"/>
          <w:b/>
          <w:snapToGrid w:val="0"/>
          <w:kern w:val="0"/>
          <w:sz w:val="28"/>
          <w:szCs w:val="28"/>
        </w:rPr>
        <w:t xml:space="preserve">报警及通讯联络方式 </w:t>
      </w:r>
    </w:p>
    <w:p>
      <w:pPr>
        <w:spacing w:line="440" w:lineRule="exact"/>
        <w:ind w:firstLine="480"/>
        <w:rPr>
          <w:rFonts w:ascii="Times New Roman" w:hAnsi="Times New Roman" w:cs="Times New Roman"/>
        </w:rPr>
      </w:pPr>
      <w:r>
        <w:rPr>
          <w:rFonts w:ascii="Times New Roman" w:hAnsi="Times New Roman" w:cs="Times New Roman"/>
        </w:rPr>
        <w:t>火警电话：119急救电话：120治安电话：110交通事故报警电话：122站内值班、报警电话，必须24小时保持完好，有人接听。</w:t>
      </w:r>
    </w:p>
    <w:p>
      <w:pPr>
        <w:numPr>
          <w:ilvl w:val="2"/>
          <w:numId w:val="1"/>
        </w:numPr>
        <w:autoSpaceDE w:val="0"/>
        <w:autoSpaceDN w:val="0"/>
        <w:adjustRightInd w:val="0"/>
        <w:snapToGrid w:val="0"/>
        <w:spacing w:line="600" w:lineRule="exact"/>
        <w:ind w:left="0" w:firstLine="0" w:firstLineChars="0"/>
        <w:jc w:val="left"/>
        <w:textAlignment w:val="baseline"/>
        <w:outlineLvl w:val="2"/>
        <w:rPr>
          <w:rFonts w:ascii="Times New Roman" w:hAnsi="Times New Roman" w:eastAsia="黑体" w:cs="Times New Roman"/>
          <w:b/>
          <w:snapToGrid w:val="0"/>
          <w:kern w:val="0"/>
          <w:sz w:val="28"/>
          <w:szCs w:val="28"/>
        </w:rPr>
      </w:pPr>
      <w:r>
        <w:rPr>
          <w:rFonts w:ascii="Times New Roman" w:hAnsi="Times New Roman" w:eastAsia="黑体" w:cs="Times New Roman"/>
          <w:b/>
          <w:snapToGrid w:val="0"/>
          <w:kern w:val="0"/>
          <w:sz w:val="28"/>
          <w:szCs w:val="28"/>
        </w:rPr>
        <w:t>应急响应</w:t>
      </w:r>
    </w:p>
    <w:p>
      <w:pPr>
        <w:spacing w:line="440" w:lineRule="exact"/>
        <w:ind w:firstLine="480"/>
        <w:rPr>
          <w:rFonts w:ascii="Times New Roman" w:hAnsi="Times New Roman" w:cs="Times New Roman"/>
        </w:rPr>
      </w:pPr>
      <w:r>
        <w:rPr>
          <w:rFonts w:ascii="Times New Roman" w:hAnsi="Times New Roman" w:eastAsia="Times New Roman" w:cs="Times New Roman"/>
        </w:rPr>
        <w:t>1</w:t>
      </w:r>
      <w:r>
        <w:rPr>
          <w:rFonts w:ascii="Times New Roman" w:hAnsi="Times New Roman" w:cs="Times New Roman"/>
        </w:rPr>
        <w:t>、应急响应条件 发生事故后</w:t>
      </w:r>
      <w:r>
        <w:rPr>
          <w:rFonts w:ascii="Times New Roman" w:hAnsi="Times New Roman" w:cs="Times New Roman"/>
          <w:spacing w:val="-48"/>
        </w:rPr>
        <w:t>，</w:t>
      </w:r>
      <w:r>
        <w:rPr>
          <w:rFonts w:ascii="Times New Roman" w:hAnsi="Times New Roman" w:cs="Times New Roman"/>
        </w:rPr>
        <w:t>由总指挥或在场最高管理者启动应急预案</w:t>
      </w:r>
      <w:r>
        <w:rPr>
          <w:rFonts w:ascii="Times New Roman" w:hAnsi="Times New Roman" w:cs="Times New Roman"/>
          <w:spacing w:val="-48"/>
        </w:rPr>
        <w:t>。</w:t>
      </w:r>
      <w:r>
        <w:rPr>
          <w:rFonts w:ascii="Times New Roman" w:hAnsi="Times New Roman" w:cs="Times New Roman"/>
        </w:rPr>
        <w:t>同时立即向</w:t>
      </w:r>
      <w:r>
        <w:rPr>
          <w:rFonts w:ascii="Times New Roman" w:hAnsi="Times New Roman" w:cs="Times New Roman"/>
          <w:position w:val="-1"/>
        </w:rPr>
        <w:t>公司领导及有关部门报告，并根据事故性质、严重程度向</w:t>
      </w:r>
      <w:r>
        <w:rPr>
          <w:rFonts w:ascii="Times New Roman" w:hAnsi="Times New Roman" w:eastAsia="Times New Roman" w:cs="Times New Roman"/>
          <w:spacing w:val="-10"/>
          <w:position w:val="-1"/>
        </w:rPr>
        <w:t>1</w:t>
      </w:r>
      <w:r>
        <w:rPr>
          <w:rFonts w:ascii="Times New Roman" w:hAnsi="Times New Roman" w:eastAsia="Times New Roman" w:cs="Times New Roman"/>
          <w:position w:val="-1"/>
        </w:rPr>
        <w:t>1</w:t>
      </w:r>
      <w:r>
        <w:rPr>
          <w:rFonts w:ascii="Times New Roman" w:hAnsi="Times New Roman" w:eastAsia="Times New Roman" w:cs="Times New Roman"/>
          <w:spacing w:val="1"/>
          <w:position w:val="-1"/>
        </w:rPr>
        <w:t>9</w:t>
      </w:r>
      <w:r>
        <w:rPr>
          <w:rFonts w:ascii="Times New Roman" w:hAnsi="Times New Roman" w:cs="Times New Roman"/>
          <w:position w:val="-1"/>
        </w:rPr>
        <w:t>、</w:t>
      </w:r>
      <w:r>
        <w:rPr>
          <w:rFonts w:ascii="Times New Roman" w:hAnsi="Times New Roman" w:eastAsia="Times New Roman" w:cs="Times New Roman"/>
          <w:position w:val="-1"/>
        </w:rPr>
        <w:t>120</w:t>
      </w:r>
      <w:r>
        <w:rPr>
          <w:rFonts w:ascii="Times New Roman" w:hAnsi="Times New Roman" w:cs="Times New Roman"/>
          <w:position w:val="-1"/>
        </w:rPr>
        <w:t>报警，</w:t>
      </w:r>
      <w:r>
        <w:rPr>
          <w:rFonts w:ascii="Times New Roman" w:hAnsi="Times New Roman" w:cs="Times New Roman"/>
        </w:rPr>
        <w:t>向联防单位求援。报警时应说明出事地点、火灾情况、联系电话等。</w:t>
      </w:r>
    </w:p>
    <w:p>
      <w:pPr>
        <w:spacing w:line="440" w:lineRule="exact"/>
        <w:ind w:firstLine="480"/>
        <w:rPr>
          <w:rFonts w:ascii="Times New Roman" w:hAnsi="Times New Roman" w:cs="Times New Roman"/>
        </w:rPr>
      </w:pPr>
      <w:r>
        <w:rPr>
          <w:rFonts w:ascii="Times New Roman" w:hAnsi="Times New Roman" w:eastAsia="Times New Roman" w:cs="Times New Roman"/>
        </w:rPr>
        <w:t>2</w:t>
      </w:r>
      <w:r>
        <w:rPr>
          <w:rFonts w:ascii="Times New Roman" w:hAnsi="Times New Roman" w:cs="Times New Roman"/>
        </w:rPr>
        <w:t>、采取的措施在发生事故后</w:t>
      </w:r>
      <w:r>
        <w:rPr>
          <w:rFonts w:ascii="Times New Roman" w:hAnsi="Times New Roman" w:cs="Times New Roman"/>
          <w:spacing w:val="-31"/>
        </w:rPr>
        <w:t>，</w:t>
      </w:r>
      <w:r>
        <w:rPr>
          <w:rFonts w:ascii="Times New Roman" w:hAnsi="Times New Roman" w:cs="Times New Roman"/>
        </w:rPr>
        <w:t>立即停止作业；处理现场物品，防止次生事故发生。</w:t>
      </w:r>
    </w:p>
    <w:p>
      <w:pPr>
        <w:spacing w:line="440" w:lineRule="exact"/>
        <w:ind w:firstLine="480"/>
        <w:rPr>
          <w:rFonts w:ascii="Times New Roman" w:hAnsi="Times New Roman" w:cs="Times New Roman"/>
          <w:szCs w:val="24"/>
        </w:rPr>
      </w:pPr>
      <w:r>
        <w:rPr>
          <w:rFonts w:ascii="Times New Roman" w:hAnsi="Times New Roman" w:eastAsia="Times New Roman" w:cs="Times New Roman"/>
          <w:szCs w:val="24"/>
        </w:rPr>
        <w:t>3</w:t>
      </w:r>
      <w:r>
        <w:rPr>
          <w:rFonts w:ascii="Times New Roman" w:hAnsi="Times New Roman" w:cs="Times New Roman"/>
          <w:szCs w:val="24"/>
        </w:rPr>
        <w:t>、人员紧急疏散、撤离由组长指挥现场车辆及无关人员迅速撤离</w:t>
      </w:r>
      <w:r>
        <w:rPr>
          <w:rFonts w:ascii="Times New Roman" w:hAnsi="Times New Roman" w:cs="Times New Roman"/>
          <w:spacing w:val="-48"/>
          <w:szCs w:val="24"/>
        </w:rPr>
        <w:t>，</w:t>
      </w:r>
      <w:r>
        <w:rPr>
          <w:rFonts w:ascii="Times New Roman" w:hAnsi="Times New Roman" w:cs="Times New Roman"/>
          <w:szCs w:val="24"/>
        </w:rPr>
        <w:t>并对场所</w:t>
      </w:r>
      <w:r>
        <w:rPr>
          <w:rFonts w:ascii="Times New Roman" w:hAnsi="Times New Roman" w:cs="Times New Roman"/>
          <w:spacing w:val="-48"/>
          <w:szCs w:val="24"/>
        </w:rPr>
        <w:t>、</w:t>
      </w:r>
      <w:r>
        <w:rPr>
          <w:rFonts w:ascii="Times New Roman" w:hAnsi="Times New Roman" w:cs="Times New Roman"/>
          <w:szCs w:val="24"/>
        </w:rPr>
        <w:t>设施及周围情况进行监控、分析，决定是否下达现场人员紧急撤离命令。</w:t>
      </w:r>
    </w:p>
    <w:p>
      <w:pPr>
        <w:spacing w:line="440" w:lineRule="exact"/>
        <w:ind w:firstLine="480"/>
        <w:rPr>
          <w:rFonts w:ascii="Times New Roman" w:hAnsi="Times New Roman" w:cs="Times New Roman"/>
          <w:position w:val="-1"/>
        </w:rPr>
      </w:pPr>
      <w:r>
        <w:rPr>
          <w:rFonts w:ascii="Times New Roman" w:hAnsi="Times New Roman" w:cs="Times New Roman"/>
          <w:position w:val="-1"/>
        </w:rPr>
        <w:t>4、危险区的隔离发生事故后，应对现场周围实行警戒，指定员工在路口引导救援队伍入站，确保消防道路畅通，配合做好外围的警戒和疏导工作，禁止无关人员及车辆进入警戒区域。</w:t>
      </w:r>
    </w:p>
    <w:p>
      <w:pPr>
        <w:numPr>
          <w:ilvl w:val="2"/>
          <w:numId w:val="1"/>
        </w:numPr>
        <w:autoSpaceDE w:val="0"/>
        <w:autoSpaceDN w:val="0"/>
        <w:adjustRightInd w:val="0"/>
        <w:snapToGrid w:val="0"/>
        <w:spacing w:line="600" w:lineRule="exact"/>
        <w:ind w:firstLineChars="0"/>
        <w:jc w:val="left"/>
        <w:textAlignment w:val="baseline"/>
        <w:outlineLvl w:val="2"/>
        <w:rPr>
          <w:rFonts w:ascii="Times New Roman" w:hAnsi="Times New Roman" w:eastAsia="黑体" w:cs="Times New Roman"/>
          <w:b/>
          <w:snapToGrid w:val="0"/>
          <w:kern w:val="0"/>
          <w:sz w:val="28"/>
          <w:szCs w:val="28"/>
        </w:rPr>
      </w:pPr>
      <w:r>
        <w:rPr>
          <w:rFonts w:ascii="Times New Roman" w:hAnsi="Times New Roman" w:eastAsia="黑体" w:cs="Times New Roman"/>
          <w:b/>
          <w:snapToGrid w:val="0"/>
          <w:kern w:val="0"/>
          <w:sz w:val="28"/>
          <w:szCs w:val="28"/>
        </w:rPr>
        <w:t xml:space="preserve">应急器材与资料配备 </w:t>
      </w:r>
    </w:p>
    <w:p>
      <w:pPr>
        <w:kinsoku w:val="0"/>
        <w:overflowPunct w:val="0"/>
        <w:autoSpaceDE w:val="0"/>
        <w:autoSpaceDN w:val="0"/>
        <w:adjustRightInd w:val="0"/>
        <w:spacing w:line="440" w:lineRule="exact"/>
        <w:ind w:firstLine="488"/>
        <w:rPr>
          <w:rFonts w:ascii="Times New Roman" w:hAnsi="Times New Roman" w:cs="Times New Roman"/>
          <w:spacing w:val="2"/>
          <w:kern w:val="0"/>
          <w:szCs w:val="24"/>
        </w:rPr>
      </w:pPr>
      <w:r>
        <w:rPr>
          <w:rFonts w:ascii="Times New Roman" w:hAnsi="Times New Roman" w:cs="Times New Roman"/>
          <w:spacing w:val="2"/>
          <w:kern w:val="0"/>
          <w:szCs w:val="24"/>
        </w:rPr>
        <w:t>为减少事故造成的影响，在仓库贮备以下应急器材备用：</w:t>
      </w:r>
    </w:p>
    <w:p>
      <w:pPr>
        <w:spacing w:line="440" w:lineRule="exact"/>
        <w:ind w:firstLine="488"/>
        <w:rPr>
          <w:rFonts w:ascii="Times New Roman" w:hAnsi="Times New Roman" w:cs="Times New Roman"/>
        </w:rPr>
      </w:pPr>
      <w:r>
        <w:rPr>
          <w:rFonts w:hint="eastAsia" w:ascii="宋体" w:hAnsi="宋体" w:eastAsia="宋体" w:cs="宋体"/>
          <w:spacing w:val="2"/>
          <w:kern w:val="0"/>
          <w:szCs w:val="24"/>
        </w:rPr>
        <w:t>①</w:t>
      </w:r>
      <w:r>
        <w:rPr>
          <w:rFonts w:ascii="Times New Roman" w:hAnsi="Times New Roman" w:cs="Times New Roman"/>
          <w:spacing w:val="2"/>
          <w:kern w:val="0"/>
          <w:szCs w:val="24"/>
        </w:rPr>
        <w:t>工具车；</w:t>
      </w:r>
      <w:r>
        <w:rPr>
          <w:rFonts w:hint="eastAsia" w:ascii="宋体" w:hAnsi="宋体" w:eastAsia="宋体" w:cs="宋体"/>
          <w:spacing w:val="2"/>
          <w:kern w:val="0"/>
          <w:szCs w:val="24"/>
        </w:rPr>
        <w:t>②</w:t>
      </w:r>
      <w:r>
        <w:rPr>
          <w:rFonts w:ascii="Times New Roman" w:hAnsi="Times New Roman" w:cs="Times New Roman"/>
          <w:spacing w:val="2"/>
          <w:kern w:val="0"/>
          <w:szCs w:val="24"/>
        </w:rPr>
        <w:t>堵漏器材（管箍、管卡等）；</w:t>
      </w:r>
      <w:r>
        <w:rPr>
          <w:rFonts w:hint="eastAsia" w:ascii="宋体" w:hAnsi="宋体" w:eastAsia="宋体" w:cs="宋体"/>
          <w:spacing w:val="2"/>
          <w:kern w:val="0"/>
          <w:szCs w:val="24"/>
        </w:rPr>
        <w:t>③</w:t>
      </w:r>
      <w:r>
        <w:rPr>
          <w:rFonts w:ascii="Times New Roman" w:hAnsi="Times New Roman" w:cs="Times New Roman"/>
          <w:spacing w:val="2"/>
          <w:kern w:val="0"/>
          <w:szCs w:val="24"/>
        </w:rPr>
        <w:t>机动性强的充气式围栏；</w:t>
      </w:r>
      <w:r>
        <w:rPr>
          <w:rFonts w:hint="eastAsia" w:ascii="宋体" w:hAnsi="宋体" w:eastAsia="宋体" w:cs="宋体"/>
          <w:spacing w:val="2"/>
          <w:kern w:val="0"/>
          <w:szCs w:val="24"/>
        </w:rPr>
        <w:t>④</w:t>
      </w:r>
      <w:r>
        <w:rPr>
          <w:rFonts w:ascii="Times New Roman" w:hAnsi="Times New Roman" w:cs="Times New Roman"/>
          <w:spacing w:val="2"/>
          <w:kern w:val="0"/>
          <w:szCs w:val="24"/>
        </w:rPr>
        <w:t>临时贮存容器；</w:t>
      </w:r>
      <w:r>
        <w:rPr>
          <w:rFonts w:hint="eastAsia" w:ascii="宋体" w:hAnsi="宋体" w:eastAsia="宋体" w:cs="宋体"/>
          <w:spacing w:val="2"/>
          <w:kern w:val="0"/>
          <w:szCs w:val="24"/>
        </w:rPr>
        <w:t>⑤</w:t>
      </w:r>
      <w:r>
        <w:rPr>
          <w:rFonts w:ascii="Times New Roman" w:hAnsi="Times New Roman" w:cs="Times New Roman"/>
          <w:spacing w:val="2"/>
          <w:kern w:val="0"/>
          <w:szCs w:val="24"/>
        </w:rPr>
        <w:t>应急修补的专用工具和器材等；</w:t>
      </w:r>
      <w:r>
        <w:rPr>
          <w:rFonts w:hint="eastAsia" w:ascii="宋体" w:hAnsi="宋体" w:eastAsia="宋体" w:cs="宋体"/>
          <w:spacing w:val="2"/>
          <w:kern w:val="0"/>
          <w:szCs w:val="24"/>
        </w:rPr>
        <w:t>⑥</w:t>
      </w:r>
      <w:r>
        <w:rPr>
          <w:rFonts w:ascii="Times New Roman" w:hAnsi="Times New Roman" w:cs="Times New Roman"/>
          <w:spacing w:val="2"/>
          <w:kern w:val="0"/>
          <w:szCs w:val="24"/>
        </w:rPr>
        <w:t>溢漏检漏专用仪器和设备等；</w:t>
      </w:r>
      <w:r>
        <w:rPr>
          <w:rFonts w:hint="eastAsia" w:ascii="宋体" w:hAnsi="宋体" w:eastAsia="宋体" w:cs="宋体"/>
          <w:spacing w:val="2"/>
          <w:kern w:val="0"/>
          <w:szCs w:val="24"/>
        </w:rPr>
        <w:t>⑦</w:t>
      </w:r>
      <w:r>
        <w:rPr>
          <w:rFonts w:ascii="Times New Roman" w:hAnsi="Times New Roman" w:cs="Times New Roman"/>
          <w:spacing w:val="2"/>
          <w:kern w:val="0"/>
          <w:szCs w:val="24"/>
        </w:rPr>
        <w:t>消防设施和器材；</w:t>
      </w:r>
      <w:r>
        <w:rPr>
          <w:rFonts w:hint="eastAsia" w:ascii="宋体" w:hAnsi="宋体" w:eastAsia="宋体" w:cs="宋体"/>
          <w:spacing w:val="2"/>
          <w:kern w:val="0"/>
          <w:szCs w:val="24"/>
        </w:rPr>
        <w:t>⑧</w:t>
      </w:r>
      <w:r>
        <w:rPr>
          <w:rFonts w:ascii="Times New Roman" w:hAnsi="Times New Roman" w:cs="Times New Roman"/>
          <w:spacing w:val="2"/>
          <w:kern w:val="0"/>
          <w:szCs w:val="24"/>
        </w:rPr>
        <w:t>移动通讯器材。</w:t>
      </w:r>
    </w:p>
    <w:p>
      <w:pPr>
        <w:numPr>
          <w:ilvl w:val="2"/>
          <w:numId w:val="1"/>
        </w:numPr>
        <w:autoSpaceDE w:val="0"/>
        <w:autoSpaceDN w:val="0"/>
        <w:adjustRightInd w:val="0"/>
        <w:snapToGrid w:val="0"/>
        <w:spacing w:line="600" w:lineRule="exact"/>
        <w:ind w:firstLineChars="0"/>
        <w:jc w:val="left"/>
        <w:textAlignment w:val="baseline"/>
        <w:outlineLvl w:val="2"/>
        <w:rPr>
          <w:rFonts w:ascii="Times New Roman" w:hAnsi="Times New Roman" w:eastAsia="黑体" w:cs="Times New Roman"/>
          <w:b/>
          <w:snapToGrid w:val="0"/>
          <w:kern w:val="0"/>
          <w:sz w:val="28"/>
          <w:szCs w:val="28"/>
        </w:rPr>
      </w:pPr>
      <w:r>
        <w:rPr>
          <w:rFonts w:ascii="Times New Roman" w:hAnsi="Times New Roman" w:eastAsia="黑体" w:cs="Times New Roman"/>
          <w:b/>
          <w:snapToGrid w:val="0"/>
          <w:kern w:val="0"/>
          <w:sz w:val="28"/>
          <w:szCs w:val="28"/>
        </w:rPr>
        <w:t>应急监测与救护</w:t>
      </w:r>
    </w:p>
    <w:p>
      <w:pPr>
        <w:kinsoku w:val="0"/>
        <w:overflowPunct w:val="0"/>
        <w:autoSpaceDE w:val="0"/>
        <w:autoSpaceDN w:val="0"/>
        <w:adjustRightInd w:val="0"/>
        <w:spacing w:line="440" w:lineRule="exact"/>
        <w:ind w:firstLine="488"/>
        <w:rPr>
          <w:rFonts w:ascii="Times New Roman" w:hAnsi="Times New Roman" w:cs="Times New Roman"/>
          <w:spacing w:val="2"/>
          <w:kern w:val="0"/>
          <w:szCs w:val="24"/>
        </w:rPr>
      </w:pPr>
      <w:r>
        <w:rPr>
          <w:rFonts w:ascii="Times New Roman" w:hAnsi="Times New Roman" w:cs="Times New Roman"/>
          <w:spacing w:val="2"/>
          <w:kern w:val="0"/>
          <w:szCs w:val="24"/>
        </w:rPr>
        <w:t>（1）救护人员到达现场后，按指挥官命令尽快查明泄漏和扩散情况以及发展事态，根据风向、风速、水沟分布，判断扩散方向和速度，开展扩散区气体快速监测，并及时汇报指挥官，以根据扩散区域和情况严重程度，划定警戒范围、决定人群撤离范围。检查确定废气收集、处理系统运行情况，确保污染物在受控 状态，防止污染物向环境直接排放。</w:t>
      </w:r>
    </w:p>
    <w:p>
      <w:pPr>
        <w:spacing w:line="440" w:lineRule="exact"/>
        <w:ind w:firstLine="488"/>
        <w:rPr>
          <w:rFonts w:ascii="Times New Roman" w:hAnsi="Times New Roman" w:cs="Times New Roman"/>
        </w:rPr>
      </w:pPr>
      <w:r>
        <w:rPr>
          <w:rFonts w:ascii="Times New Roman" w:hAnsi="Times New Roman" w:cs="Times New Roman"/>
          <w:spacing w:val="2"/>
          <w:kern w:val="0"/>
          <w:szCs w:val="24"/>
        </w:rPr>
        <w:t>（2）辖区单元必须观察废气浓度变化情况、流量及泄露液位变化趋势，技术单位对大气环境保持连续监测分析，掌握污染物变化动态，并根据监测结果通知事故指挥官，随时监测事故区域环境空气中危险物的浓度变化，指导救援作业。</w:t>
      </w:r>
    </w:p>
    <w:p>
      <w:pPr>
        <w:numPr>
          <w:ilvl w:val="2"/>
          <w:numId w:val="1"/>
        </w:numPr>
        <w:autoSpaceDE w:val="0"/>
        <w:autoSpaceDN w:val="0"/>
        <w:adjustRightInd w:val="0"/>
        <w:snapToGrid w:val="0"/>
        <w:spacing w:line="600" w:lineRule="exact"/>
        <w:ind w:left="0" w:firstLine="0" w:firstLineChars="0"/>
        <w:jc w:val="left"/>
        <w:textAlignment w:val="baseline"/>
        <w:outlineLvl w:val="2"/>
        <w:rPr>
          <w:rFonts w:ascii="Times New Roman" w:hAnsi="Times New Roman" w:eastAsia="黑体" w:cs="Times New Roman"/>
          <w:b/>
          <w:snapToGrid w:val="0"/>
          <w:kern w:val="0"/>
          <w:sz w:val="28"/>
          <w:szCs w:val="28"/>
        </w:rPr>
      </w:pPr>
      <w:r>
        <w:rPr>
          <w:rFonts w:ascii="Times New Roman" w:hAnsi="Times New Roman" w:eastAsia="黑体" w:cs="Times New Roman"/>
          <w:b/>
          <w:snapToGrid w:val="0"/>
          <w:kern w:val="0"/>
          <w:sz w:val="28"/>
          <w:szCs w:val="28"/>
        </w:rPr>
        <w:t>突发事故应急预案</w:t>
      </w:r>
    </w:p>
    <w:p>
      <w:pPr>
        <w:spacing w:line="440" w:lineRule="exact"/>
        <w:ind w:firstLine="480"/>
        <w:rPr>
          <w:rFonts w:ascii="Times New Roman" w:hAnsi="Times New Roman" w:cs="Times New Roman"/>
        </w:rPr>
      </w:pPr>
      <w:r>
        <w:rPr>
          <w:rFonts w:ascii="Times New Roman" w:hAnsi="Times New Roman" w:cs="Times New Roman"/>
        </w:rPr>
        <w:t>根据国家环保局（90）环管字057号文的要求，通过对污染事故的风险评价，建设单位应本着立足“自救为主，外援为辅，统一指挥，当机立断”原则，制定防止重大环境污染事故发生的工作计划、消除事故隐患的措施及突发性事故应急处理办法等。一旦出现突发事故，必须按事先拟定的应急预案，进行紧急处理。它包括应急状态分类、应急计划区、事故等级水平、应急防护和应急医学处理等。</w:t>
      </w:r>
    </w:p>
    <w:p>
      <w:pPr>
        <w:spacing w:line="440" w:lineRule="exact"/>
        <w:ind w:firstLine="480"/>
        <w:rPr>
          <w:rFonts w:ascii="Times New Roman" w:hAnsi="Times New Roman" w:cs="Times New Roman"/>
        </w:rPr>
      </w:pPr>
      <w:r>
        <w:rPr>
          <w:rFonts w:ascii="Times New Roman" w:hAnsi="Times New Roman" w:cs="Times New Roman"/>
        </w:rPr>
        <w:t>本项目应根据生产特点和事故隐患分析，按表4.2-1内容和要求制订突发事故应急预案。对环境污染事故以及应急事故的发生，编制危险化学品事故应急救援预案、重大环境污染事故应急救援预案等，编制化学危险品应急响应工作作业指导书、废气事故排放应急响应工作作业指导书等应急方案，对公司查预期发生的导致人员伤亡、财产损失或环境污染事故进行应急援救处理。</w:t>
      </w:r>
    </w:p>
    <w:p>
      <w:pPr>
        <w:snapToGrid w:val="0"/>
        <w:spacing w:line="560" w:lineRule="exact"/>
        <w:ind w:firstLine="480" w:firstLineChars="0"/>
        <w:jc w:val="center"/>
        <w:rPr>
          <w:rFonts w:ascii="Times New Roman" w:hAnsi="Times New Roman" w:eastAsia="黑体" w:cs="Times New Roman"/>
          <w:snapToGrid w:val="0"/>
          <w:kern w:val="0"/>
          <w:szCs w:val="24"/>
        </w:rPr>
      </w:pPr>
      <w:r>
        <w:rPr>
          <w:rFonts w:ascii="Times New Roman" w:hAnsi="Times New Roman" w:eastAsia="黑体" w:cs="Times New Roman"/>
          <w:snapToGrid w:val="0"/>
          <w:kern w:val="0"/>
          <w:szCs w:val="24"/>
        </w:rPr>
        <w:tab/>
      </w:r>
      <w:r>
        <w:rPr>
          <w:rFonts w:ascii="Times New Roman" w:hAnsi="Times New Roman" w:eastAsia="黑体" w:cs="Times New Roman"/>
          <w:snapToGrid w:val="0"/>
          <w:kern w:val="0"/>
          <w:szCs w:val="24"/>
        </w:rPr>
        <w:t>应急预案内容</w:t>
      </w:r>
    </w:p>
    <w:p>
      <w:pPr>
        <w:snapToGrid w:val="0"/>
        <w:spacing w:line="0" w:lineRule="atLeast"/>
        <w:ind w:firstLine="0" w:firstLineChars="0"/>
        <w:jc w:val="left"/>
        <w:rPr>
          <w:rFonts w:ascii="Times New Roman" w:hAnsi="Times New Roman" w:cs="Times New Roman"/>
          <w:snapToGrid w:val="0"/>
          <w:kern w:val="0"/>
          <w:sz w:val="21"/>
          <w:szCs w:val="24"/>
        </w:rPr>
      </w:pPr>
      <w:r>
        <w:rPr>
          <w:rFonts w:ascii="Times New Roman" w:hAnsi="Times New Roman" w:cs="Times New Roman"/>
          <w:snapToGrid w:val="0"/>
          <w:kern w:val="0"/>
          <w:sz w:val="21"/>
          <w:szCs w:val="24"/>
        </w:rPr>
        <w:t>表4.2-1</w:t>
      </w:r>
    </w:p>
    <w:tbl>
      <w:tblPr>
        <w:tblStyle w:val="11"/>
        <w:tblW w:w="8539" w:type="dxa"/>
        <w:tblInd w:w="103" w:type="dxa"/>
        <w:tblLayout w:type="fixed"/>
        <w:tblCellMar>
          <w:top w:w="0" w:type="dxa"/>
          <w:left w:w="0" w:type="dxa"/>
          <w:bottom w:w="0" w:type="dxa"/>
          <w:right w:w="0" w:type="dxa"/>
        </w:tblCellMar>
      </w:tblPr>
      <w:tblGrid>
        <w:gridCol w:w="817"/>
        <w:gridCol w:w="2276"/>
        <w:gridCol w:w="5446"/>
      </w:tblGrid>
      <w:tr>
        <w:tblPrEx>
          <w:tblLayout w:type="fixed"/>
          <w:tblCellMar>
            <w:top w:w="0" w:type="dxa"/>
            <w:left w:w="0" w:type="dxa"/>
            <w:bottom w:w="0" w:type="dxa"/>
            <w:right w:w="0" w:type="dxa"/>
          </w:tblCellMar>
        </w:tblPrEx>
        <w:trPr>
          <w:trHeight w:val="292" w:hRule="exact"/>
        </w:trPr>
        <w:tc>
          <w:tcPr>
            <w:tcW w:w="817" w:type="dxa"/>
            <w:tcBorders>
              <w:top w:val="single" w:color="000000" w:sz="10" w:space="0"/>
              <w:left w:val="nil"/>
              <w:bottom w:val="single" w:color="000000" w:sz="2"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序号</w:t>
            </w:r>
          </w:p>
        </w:tc>
        <w:tc>
          <w:tcPr>
            <w:tcW w:w="2276" w:type="dxa"/>
            <w:tcBorders>
              <w:top w:val="single" w:color="000000" w:sz="10" w:space="0"/>
              <w:left w:val="single" w:color="000000" w:sz="2" w:space="0"/>
              <w:bottom w:val="single" w:color="000000" w:sz="2"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项目</w:t>
            </w:r>
          </w:p>
        </w:tc>
        <w:tc>
          <w:tcPr>
            <w:tcW w:w="5446" w:type="dxa"/>
            <w:tcBorders>
              <w:top w:val="single" w:color="000000" w:sz="10" w:space="0"/>
              <w:left w:val="single" w:color="000000" w:sz="2" w:space="0"/>
              <w:bottom w:val="single" w:color="000000" w:sz="2" w:space="0"/>
              <w:right w:val="nil"/>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内容及要求</w:t>
            </w:r>
          </w:p>
        </w:tc>
      </w:tr>
      <w:tr>
        <w:tblPrEx>
          <w:tblLayout w:type="fixed"/>
          <w:tblCellMar>
            <w:top w:w="0" w:type="dxa"/>
            <w:left w:w="0" w:type="dxa"/>
            <w:bottom w:w="0" w:type="dxa"/>
            <w:right w:w="0" w:type="dxa"/>
          </w:tblCellMar>
        </w:tblPrEx>
        <w:trPr>
          <w:trHeight w:val="281" w:hRule="exact"/>
        </w:trPr>
        <w:tc>
          <w:tcPr>
            <w:tcW w:w="817" w:type="dxa"/>
            <w:tcBorders>
              <w:top w:val="single" w:color="000000" w:sz="2" w:space="0"/>
              <w:left w:val="nil"/>
              <w:bottom w:val="single" w:color="000000" w:sz="2"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1</w:t>
            </w:r>
          </w:p>
        </w:tc>
        <w:tc>
          <w:tcPr>
            <w:tcW w:w="2276" w:type="dxa"/>
            <w:tcBorders>
              <w:top w:val="single" w:color="000000" w:sz="2" w:space="0"/>
              <w:left w:val="single" w:color="000000" w:sz="2" w:space="0"/>
              <w:bottom w:val="single" w:color="000000" w:sz="2"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总则</w:t>
            </w:r>
          </w:p>
        </w:tc>
        <w:tc>
          <w:tcPr>
            <w:tcW w:w="5446" w:type="dxa"/>
            <w:tcBorders>
              <w:top w:val="single" w:color="000000" w:sz="2" w:space="0"/>
              <w:left w:val="single" w:color="000000" w:sz="2" w:space="0"/>
              <w:bottom w:val="single" w:color="000000" w:sz="2" w:space="0"/>
              <w:right w:val="nil"/>
            </w:tcBorders>
            <w:vAlign w:val="center"/>
          </w:tcPr>
          <w:p>
            <w:pPr>
              <w:spacing w:line="240" w:lineRule="auto"/>
              <w:ind w:firstLine="0" w:firstLineChars="0"/>
              <w:jc w:val="center"/>
              <w:rPr>
                <w:rFonts w:ascii="Times New Roman" w:hAnsi="Times New Roman" w:cs="Times New Roman"/>
                <w:bCs/>
                <w:kern w:val="0"/>
                <w:sz w:val="21"/>
              </w:rPr>
            </w:pPr>
          </w:p>
        </w:tc>
      </w:tr>
      <w:tr>
        <w:tblPrEx>
          <w:tblLayout w:type="fixed"/>
          <w:tblCellMar>
            <w:top w:w="0" w:type="dxa"/>
            <w:left w:w="0" w:type="dxa"/>
            <w:bottom w:w="0" w:type="dxa"/>
            <w:right w:w="0" w:type="dxa"/>
          </w:tblCellMar>
        </w:tblPrEx>
        <w:trPr>
          <w:trHeight w:val="288" w:hRule="exact"/>
        </w:trPr>
        <w:tc>
          <w:tcPr>
            <w:tcW w:w="817" w:type="dxa"/>
            <w:tcBorders>
              <w:top w:val="single" w:color="000000" w:sz="2" w:space="0"/>
              <w:left w:val="nil"/>
              <w:bottom w:val="single" w:color="000000" w:sz="2"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2</w:t>
            </w:r>
          </w:p>
        </w:tc>
        <w:tc>
          <w:tcPr>
            <w:tcW w:w="2276" w:type="dxa"/>
            <w:tcBorders>
              <w:top w:val="single" w:color="000000" w:sz="2" w:space="0"/>
              <w:left w:val="single" w:color="000000" w:sz="2" w:space="0"/>
              <w:bottom w:val="single" w:color="000000" w:sz="2"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危险源概况</w:t>
            </w:r>
          </w:p>
        </w:tc>
        <w:tc>
          <w:tcPr>
            <w:tcW w:w="5446" w:type="dxa"/>
            <w:tcBorders>
              <w:top w:val="single" w:color="000000" w:sz="2" w:space="0"/>
              <w:left w:val="single" w:color="000000" w:sz="2" w:space="0"/>
              <w:bottom w:val="single" w:color="000000" w:sz="2" w:space="0"/>
              <w:right w:val="nil"/>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详述危险源类型、数量及其分布</w:t>
            </w:r>
          </w:p>
        </w:tc>
      </w:tr>
      <w:tr>
        <w:tblPrEx>
          <w:tblLayout w:type="fixed"/>
          <w:tblCellMar>
            <w:top w:w="0" w:type="dxa"/>
            <w:left w:w="0" w:type="dxa"/>
            <w:bottom w:w="0" w:type="dxa"/>
            <w:right w:w="0" w:type="dxa"/>
          </w:tblCellMar>
        </w:tblPrEx>
        <w:trPr>
          <w:trHeight w:val="281" w:hRule="exact"/>
        </w:trPr>
        <w:tc>
          <w:tcPr>
            <w:tcW w:w="817" w:type="dxa"/>
            <w:tcBorders>
              <w:top w:val="single" w:color="000000" w:sz="2" w:space="0"/>
              <w:left w:val="nil"/>
              <w:bottom w:val="single" w:color="000000" w:sz="2"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3</w:t>
            </w:r>
          </w:p>
        </w:tc>
        <w:tc>
          <w:tcPr>
            <w:tcW w:w="2276" w:type="dxa"/>
            <w:tcBorders>
              <w:top w:val="single" w:color="000000" w:sz="2" w:space="0"/>
              <w:left w:val="single" w:color="000000" w:sz="2" w:space="0"/>
              <w:bottom w:val="single" w:color="000000" w:sz="2"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应急计划区</w:t>
            </w:r>
          </w:p>
        </w:tc>
        <w:tc>
          <w:tcPr>
            <w:tcW w:w="5446" w:type="dxa"/>
            <w:tcBorders>
              <w:top w:val="single" w:color="000000" w:sz="2" w:space="0"/>
              <w:left w:val="single" w:color="000000" w:sz="2" w:space="0"/>
              <w:bottom w:val="single" w:color="000000" w:sz="2" w:space="0"/>
              <w:right w:val="nil"/>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生产装置区、库区、邻近区域</w:t>
            </w:r>
          </w:p>
        </w:tc>
      </w:tr>
      <w:tr>
        <w:tblPrEx>
          <w:tblLayout w:type="fixed"/>
          <w:tblCellMar>
            <w:top w:w="0" w:type="dxa"/>
            <w:left w:w="0" w:type="dxa"/>
            <w:bottom w:w="0" w:type="dxa"/>
            <w:right w:w="0" w:type="dxa"/>
          </w:tblCellMar>
        </w:tblPrEx>
        <w:trPr>
          <w:trHeight w:val="1102" w:hRule="exact"/>
        </w:trPr>
        <w:tc>
          <w:tcPr>
            <w:tcW w:w="817" w:type="dxa"/>
            <w:tcBorders>
              <w:top w:val="single" w:color="000000" w:sz="2" w:space="0"/>
              <w:left w:val="nil"/>
              <w:bottom w:val="single" w:color="000000" w:sz="2"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4</w:t>
            </w:r>
          </w:p>
        </w:tc>
        <w:tc>
          <w:tcPr>
            <w:tcW w:w="2276" w:type="dxa"/>
            <w:tcBorders>
              <w:top w:val="single" w:color="000000" w:sz="2" w:space="0"/>
              <w:left w:val="single" w:color="000000" w:sz="2" w:space="0"/>
              <w:bottom w:val="single" w:color="000000" w:sz="2"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应急组织</w:t>
            </w:r>
          </w:p>
        </w:tc>
        <w:tc>
          <w:tcPr>
            <w:tcW w:w="5446" w:type="dxa"/>
            <w:tcBorders>
              <w:top w:val="single" w:color="000000" w:sz="2" w:space="0"/>
              <w:left w:val="single" w:color="000000" w:sz="2" w:space="0"/>
              <w:bottom w:val="single" w:color="000000" w:sz="2" w:space="0"/>
              <w:right w:val="nil"/>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工厂：厂指挥部负责全面指挥；专业救援队伍负责事故控制、救援、善后处理邻近区域：地区指挥部负责工厂附近地区全面指挥、救援、管制、疏散；专业救援队伍负责对厂专业救援队伍的支援</w:t>
            </w:r>
          </w:p>
        </w:tc>
      </w:tr>
      <w:tr>
        <w:tblPrEx>
          <w:tblLayout w:type="fixed"/>
          <w:tblCellMar>
            <w:top w:w="0" w:type="dxa"/>
            <w:left w:w="0" w:type="dxa"/>
            <w:bottom w:w="0" w:type="dxa"/>
            <w:right w:w="0" w:type="dxa"/>
          </w:tblCellMar>
        </w:tblPrEx>
        <w:trPr>
          <w:trHeight w:val="565" w:hRule="exact"/>
        </w:trPr>
        <w:tc>
          <w:tcPr>
            <w:tcW w:w="817" w:type="dxa"/>
            <w:tcBorders>
              <w:top w:val="single" w:color="000000" w:sz="2" w:space="0"/>
              <w:left w:val="nil"/>
              <w:bottom w:val="single" w:color="000000" w:sz="10"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5</w:t>
            </w:r>
          </w:p>
        </w:tc>
        <w:tc>
          <w:tcPr>
            <w:tcW w:w="2276" w:type="dxa"/>
            <w:tcBorders>
              <w:top w:val="single" w:color="000000" w:sz="2" w:space="0"/>
              <w:left w:val="single" w:color="000000" w:sz="2" w:space="0"/>
              <w:bottom w:val="single" w:color="000000" w:sz="10"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应急状态分类及应急</w:t>
            </w:r>
          </w:p>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响应程序</w:t>
            </w:r>
          </w:p>
        </w:tc>
        <w:tc>
          <w:tcPr>
            <w:tcW w:w="5446" w:type="dxa"/>
            <w:tcBorders>
              <w:top w:val="single" w:color="000000" w:sz="2" w:space="0"/>
              <w:left w:val="single" w:color="000000" w:sz="2" w:space="0"/>
              <w:bottom w:val="single" w:color="000000" w:sz="10" w:space="0"/>
              <w:right w:val="nil"/>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规定事故的级别及相应的应急分类响应程序</w:t>
            </w:r>
          </w:p>
        </w:tc>
      </w:tr>
      <w:tr>
        <w:tblPrEx>
          <w:tblLayout w:type="fixed"/>
          <w:tblCellMar>
            <w:top w:w="0" w:type="dxa"/>
            <w:left w:w="0" w:type="dxa"/>
            <w:bottom w:w="0" w:type="dxa"/>
            <w:right w:w="0" w:type="dxa"/>
          </w:tblCellMar>
        </w:tblPrEx>
        <w:trPr>
          <w:trHeight w:val="828" w:hRule="exact"/>
        </w:trPr>
        <w:tc>
          <w:tcPr>
            <w:tcW w:w="817" w:type="dxa"/>
            <w:tcBorders>
              <w:top w:val="single" w:color="000000" w:sz="2" w:space="0"/>
              <w:left w:val="nil"/>
              <w:bottom w:val="single" w:color="000000" w:sz="2"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6</w:t>
            </w:r>
          </w:p>
        </w:tc>
        <w:tc>
          <w:tcPr>
            <w:tcW w:w="2276" w:type="dxa"/>
            <w:tcBorders>
              <w:top w:val="single" w:color="000000" w:sz="2" w:space="0"/>
              <w:left w:val="single" w:color="000000" w:sz="2" w:space="0"/>
              <w:bottom w:val="single" w:color="000000" w:sz="2"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应急设施、设备与材料</w:t>
            </w:r>
          </w:p>
        </w:tc>
        <w:tc>
          <w:tcPr>
            <w:tcW w:w="5446" w:type="dxa"/>
            <w:tcBorders>
              <w:top w:val="single" w:color="000000" w:sz="2" w:space="0"/>
              <w:left w:val="single" w:color="000000" w:sz="2" w:space="0"/>
              <w:bottom w:val="single" w:color="000000" w:sz="2" w:space="0"/>
              <w:right w:val="nil"/>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生产装置及储存区：防火灾事故应急设施、设备与材料，</w:t>
            </w:r>
          </w:p>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主要为消防器材；防有毒有害物质外泄、扩散设施 邻近区域：中毒人员急救所用的一些药品、器材</w:t>
            </w:r>
          </w:p>
        </w:tc>
      </w:tr>
      <w:tr>
        <w:tblPrEx>
          <w:tblLayout w:type="fixed"/>
          <w:tblCellMar>
            <w:top w:w="0" w:type="dxa"/>
            <w:left w:w="0" w:type="dxa"/>
            <w:bottom w:w="0" w:type="dxa"/>
            <w:right w:w="0" w:type="dxa"/>
          </w:tblCellMar>
        </w:tblPrEx>
        <w:trPr>
          <w:trHeight w:val="281" w:hRule="exact"/>
        </w:trPr>
        <w:tc>
          <w:tcPr>
            <w:tcW w:w="817" w:type="dxa"/>
            <w:tcBorders>
              <w:top w:val="single" w:color="000000" w:sz="2" w:space="0"/>
              <w:left w:val="nil"/>
              <w:bottom w:val="single" w:color="000000" w:sz="2"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7</w:t>
            </w:r>
          </w:p>
        </w:tc>
        <w:tc>
          <w:tcPr>
            <w:tcW w:w="2276" w:type="dxa"/>
            <w:tcBorders>
              <w:top w:val="single" w:color="000000" w:sz="2" w:space="0"/>
              <w:left w:val="single" w:color="000000" w:sz="2" w:space="0"/>
              <w:bottom w:val="single" w:color="000000" w:sz="2"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应急通讯、通知和交通</w:t>
            </w:r>
          </w:p>
        </w:tc>
        <w:tc>
          <w:tcPr>
            <w:tcW w:w="5446" w:type="dxa"/>
            <w:tcBorders>
              <w:top w:val="single" w:color="000000" w:sz="2" w:space="0"/>
              <w:left w:val="single" w:color="000000" w:sz="2" w:space="0"/>
              <w:bottom w:val="single" w:color="000000" w:sz="2" w:space="0"/>
              <w:right w:val="nil"/>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生产区的内线电话、外线电话和对讲机等</w:t>
            </w:r>
          </w:p>
        </w:tc>
      </w:tr>
      <w:tr>
        <w:tblPrEx>
          <w:tblLayout w:type="fixed"/>
          <w:tblCellMar>
            <w:top w:w="0" w:type="dxa"/>
            <w:left w:w="0" w:type="dxa"/>
            <w:bottom w:w="0" w:type="dxa"/>
            <w:right w:w="0" w:type="dxa"/>
          </w:tblCellMar>
        </w:tblPrEx>
        <w:trPr>
          <w:trHeight w:val="554" w:hRule="exact"/>
        </w:trPr>
        <w:tc>
          <w:tcPr>
            <w:tcW w:w="817" w:type="dxa"/>
            <w:tcBorders>
              <w:top w:val="single" w:color="000000" w:sz="2" w:space="0"/>
              <w:left w:val="nil"/>
              <w:bottom w:val="single" w:color="000000" w:sz="2"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8</w:t>
            </w:r>
          </w:p>
        </w:tc>
        <w:tc>
          <w:tcPr>
            <w:tcW w:w="2276" w:type="dxa"/>
            <w:tcBorders>
              <w:top w:val="single" w:color="000000" w:sz="2" w:space="0"/>
              <w:left w:val="single" w:color="000000" w:sz="2" w:space="0"/>
              <w:bottom w:val="single" w:color="000000" w:sz="2"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应急环境监测及事故</w:t>
            </w:r>
          </w:p>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后评估</w:t>
            </w:r>
          </w:p>
        </w:tc>
        <w:tc>
          <w:tcPr>
            <w:tcW w:w="5446" w:type="dxa"/>
            <w:tcBorders>
              <w:top w:val="single" w:color="000000" w:sz="2" w:space="0"/>
              <w:left w:val="single" w:color="000000" w:sz="2" w:space="0"/>
              <w:bottom w:val="single" w:color="000000" w:sz="2" w:space="0"/>
              <w:right w:val="nil"/>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由专业队伍负责对事故现场进行侦察监测，对事故性质、</w:t>
            </w:r>
          </w:p>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参数与后果进行评估，为指挥部门提供决策依据</w:t>
            </w:r>
          </w:p>
        </w:tc>
      </w:tr>
      <w:tr>
        <w:tblPrEx>
          <w:tblLayout w:type="fixed"/>
          <w:tblCellMar>
            <w:top w:w="0" w:type="dxa"/>
            <w:left w:w="0" w:type="dxa"/>
            <w:bottom w:w="0" w:type="dxa"/>
            <w:right w:w="0" w:type="dxa"/>
          </w:tblCellMar>
        </w:tblPrEx>
        <w:trPr>
          <w:trHeight w:val="828" w:hRule="exact"/>
        </w:trPr>
        <w:tc>
          <w:tcPr>
            <w:tcW w:w="817" w:type="dxa"/>
            <w:tcBorders>
              <w:top w:val="single" w:color="000000" w:sz="2" w:space="0"/>
              <w:left w:val="nil"/>
              <w:bottom w:val="single" w:color="000000" w:sz="2"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9</w:t>
            </w:r>
          </w:p>
        </w:tc>
        <w:tc>
          <w:tcPr>
            <w:tcW w:w="2276" w:type="dxa"/>
            <w:tcBorders>
              <w:top w:val="single" w:color="000000" w:sz="2" w:space="0"/>
              <w:left w:val="single" w:color="000000" w:sz="2" w:space="0"/>
              <w:bottom w:val="single" w:color="000000" w:sz="2"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应急防范措施、清除泄 漏措施方法和器材</w:t>
            </w:r>
          </w:p>
        </w:tc>
        <w:tc>
          <w:tcPr>
            <w:tcW w:w="5446" w:type="dxa"/>
            <w:tcBorders>
              <w:top w:val="single" w:color="000000" w:sz="2" w:space="0"/>
              <w:left w:val="single" w:color="000000" w:sz="2" w:space="0"/>
              <w:bottom w:val="single" w:color="000000" w:sz="2" w:space="0"/>
              <w:right w:val="nil"/>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事故现场：控制事故、防止扩大、蔓延及链锁所应。清除现场泄露物，降低危害，相应的设施器材配备。 邻近区域：控制和清除污染措施及相应设备配备</w:t>
            </w:r>
          </w:p>
        </w:tc>
      </w:tr>
      <w:tr>
        <w:tblPrEx>
          <w:tblLayout w:type="fixed"/>
          <w:tblCellMar>
            <w:top w:w="0" w:type="dxa"/>
            <w:left w:w="0" w:type="dxa"/>
            <w:bottom w:w="0" w:type="dxa"/>
            <w:right w:w="0" w:type="dxa"/>
          </w:tblCellMar>
        </w:tblPrEx>
        <w:trPr>
          <w:trHeight w:val="1102" w:hRule="exact"/>
        </w:trPr>
        <w:tc>
          <w:tcPr>
            <w:tcW w:w="817" w:type="dxa"/>
            <w:tcBorders>
              <w:top w:val="single" w:color="000000" w:sz="2" w:space="0"/>
              <w:left w:val="nil"/>
              <w:bottom w:val="single" w:color="000000" w:sz="2"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10</w:t>
            </w:r>
          </w:p>
        </w:tc>
        <w:tc>
          <w:tcPr>
            <w:tcW w:w="2276" w:type="dxa"/>
            <w:tcBorders>
              <w:top w:val="single" w:color="000000" w:sz="2" w:space="0"/>
              <w:left w:val="single" w:color="000000" w:sz="2" w:space="0"/>
              <w:bottom w:val="single" w:color="000000" w:sz="2"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应急剂量控制、撤离组 织计划、医疗救护与公 众健康</w:t>
            </w:r>
          </w:p>
        </w:tc>
        <w:tc>
          <w:tcPr>
            <w:tcW w:w="5446" w:type="dxa"/>
            <w:tcBorders>
              <w:top w:val="single" w:color="000000" w:sz="2" w:space="0"/>
              <w:left w:val="single" w:color="000000" w:sz="2" w:space="0"/>
              <w:bottom w:val="single" w:color="000000" w:sz="2" w:space="0"/>
              <w:right w:val="nil"/>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事故现场：事故处理人员对毒物的应急剂量控制制定、现场及邻近装置人员撤离组织计划及救护邻近区域：受事故影响的邻近区域人员及公众对毒物应急剂量控制制定、撤离组织计划及救护</w:t>
            </w:r>
          </w:p>
        </w:tc>
      </w:tr>
      <w:tr>
        <w:tblPrEx>
          <w:tblLayout w:type="fixed"/>
          <w:tblCellMar>
            <w:top w:w="0" w:type="dxa"/>
            <w:left w:w="0" w:type="dxa"/>
            <w:bottom w:w="0" w:type="dxa"/>
            <w:right w:w="0" w:type="dxa"/>
          </w:tblCellMar>
        </w:tblPrEx>
        <w:trPr>
          <w:trHeight w:val="554" w:hRule="exact"/>
        </w:trPr>
        <w:tc>
          <w:tcPr>
            <w:tcW w:w="817" w:type="dxa"/>
            <w:tcBorders>
              <w:top w:val="single" w:color="000000" w:sz="2" w:space="0"/>
              <w:left w:val="nil"/>
              <w:bottom w:val="single" w:color="000000" w:sz="2"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11</w:t>
            </w:r>
          </w:p>
        </w:tc>
        <w:tc>
          <w:tcPr>
            <w:tcW w:w="2276" w:type="dxa"/>
            <w:tcBorders>
              <w:top w:val="single" w:color="000000" w:sz="2" w:space="0"/>
              <w:left w:val="single" w:color="000000" w:sz="2" w:space="0"/>
              <w:bottom w:val="single" w:color="000000" w:sz="2"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应急状态终止与恢复</w:t>
            </w:r>
          </w:p>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措施</w:t>
            </w:r>
          </w:p>
        </w:tc>
        <w:tc>
          <w:tcPr>
            <w:tcW w:w="5446" w:type="dxa"/>
            <w:tcBorders>
              <w:top w:val="single" w:color="000000" w:sz="2" w:space="0"/>
              <w:left w:val="single" w:color="000000" w:sz="2" w:space="0"/>
              <w:bottom w:val="single" w:color="000000" w:sz="2" w:space="0"/>
              <w:right w:val="nil"/>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规定应急状态终止程序；事故现场善后处理，恢复措施；</w:t>
            </w:r>
          </w:p>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邻近区域解除事故警戒及善后恢复措施。</w:t>
            </w:r>
          </w:p>
        </w:tc>
      </w:tr>
      <w:tr>
        <w:tblPrEx>
          <w:tblLayout w:type="fixed"/>
          <w:tblCellMar>
            <w:top w:w="0" w:type="dxa"/>
            <w:left w:w="0" w:type="dxa"/>
            <w:bottom w:w="0" w:type="dxa"/>
            <w:right w:w="0" w:type="dxa"/>
          </w:tblCellMar>
        </w:tblPrEx>
        <w:trPr>
          <w:trHeight w:val="281" w:hRule="exact"/>
        </w:trPr>
        <w:tc>
          <w:tcPr>
            <w:tcW w:w="817" w:type="dxa"/>
            <w:tcBorders>
              <w:top w:val="single" w:color="000000" w:sz="2" w:space="0"/>
              <w:left w:val="nil"/>
              <w:bottom w:val="single" w:color="000000" w:sz="2"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12</w:t>
            </w:r>
          </w:p>
        </w:tc>
        <w:tc>
          <w:tcPr>
            <w:tcW w:w="2276" w:type="dxa"/>
            <w:tcBorders>
              <w:top w:val="single" w:color="000000" w:sz="2" w:space="0"/>
              <w:left w:val="single" w:color="000000" w:sz="2" w:space="0"/>
              <w:bottom w:val="single" w:color="000000" w:sz="2"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人员培训与演练</w:t>
            </w:r>
          </w:p>
        </w:tc>
        <w:tc>
          <w:tcPr>
            <w:tcW w:w="5446" w:type="dxa"/>
            <w:tcBorders>
              <w:top w:val="single" w:color="000000" w:sz="2" w:space="0"/>
              <w:left w:val="single" w:color="000000" w:sz="2" w:space="0"/>
              <w:bottom w:val="single" w:color="000000" w:sz="2" w:space="0"/>
              <w:right w:val="nil"/>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应急计划制定后，平时安排人员培训与演练</w:t>
            </w:r>
          </w:p>
        </w:tc>
      </w:tr>
      <w:tr>
        <w:tblPrEx>
          <w:tblLayout w:type="fixed"/>
          <w:tblCellMar>
            <w:top w:w="0" w:type="dxa"/>
            <w:left w:w="0" w:type="dxa"/>
            <w:bottom w:w="0" w:type="dxa"/>
            <w:right w:w="0" w:type="dxa"/>
          </w:tblCellMar>
        </w:tblPrEx>
        <w:trPr>
          <w:trHeight w:val="281" w:hRule="exact"/>
        </w:trPr>
        <w:tc>
          <w:tcPr>
            <w:tcW w:w="817" w:type="dxa"/>
            <w:tcBorders>
              <w:top w:val="single" w:color="000000" w:sz="2" w:space="0"/>
              <w:left w:val="nil"/>
              <w:bottom w:val="single" w:color="000000" w:sz="2"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13</w:t>
            </w:r>
          </w:p>
        </w:tc>
        <w:tc>
          <w:tcPr>
            <w:tcW w:w="2276" w:type="dxa"/>
            <w:tcBorders>
              <w:top w:val="single" w:color="000000" w:sz="2" w:space="0"/>
              <w:left w:val="single" w:color="000000" w:sz="2" w:space="0"/>
              <w:bottom w:val="single" w:color="000000" w:sz="2"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公众教育和信息</w:t>
            </w:r>
          </w:p>
        </w:tc>
        <w:tc>
          <w:tcPr>
            <w:tcW w:w="5446" w:type="dxa"/>
            <w:tcBorders>
              <w:top w:val="single" w:color="000000" w:sz="2" w:space="0"/>
              <w:left w:val="single" w:color="000000" w:sz="2" w:space="0"/>
              <w:bottom w:val="single" w:color="000000" w:sz="2" w:space="0"/>
              <w:right w:val="nil"/>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对工厂邻近地区开展公众教育、培训和发布有关信息</w:t>
            </w:r>
          </w:p>
        </w:tc>
      </w:tr>
      <w:tr>
        <w:tblPrEx>
          <w:tblLayout w:type="fixed"/>
          <w:tblCellMar>
            <w:top w:w="0" w:type="dxa"/>
            <w:left w:w="0" w:type="dxa"/>
            <w:bottom w:w="0" w:type="dxa"/>
            <w:right w:w="0" w:type="dxa"/>
          </w:tblCellMar>
        </w:tblPrEx>
        <w:trPr>
          <w:trHeight w:val="554" w:hRule="exact"/>
        </w:trPr>
        <w:tc>
          <w:tcPr>
            <w:tcW w:w="817" w:type="dxa"/>
            <w:tcBorders>
              <w:top w:val="single" w:color="000000" w:sz="2" w:space="0"/>
              <w:left w:val="nil"/>
              <w:bottom w:val="single" w:color="000000" w:sz="2"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14</w:t>
            </w:r>
          </w:p>
        </w:tc>
        <w:tc>
          <w:tcPr>
            <w:tcW w:w="2276" w:type="dxa"/>
            <w:tcBorders>
              <w:top w:val="single" w:color="000000" w:sz="2" w:space="0"/>
              <w:left w:val="single" w:color="000000" w:sz="2" w:space="0"/>
              <w:bottom w:val="single" w:color="000000" w:sz="2"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记录和报告</w:t>
            </w:r>
          </w:p>
        </w:tc>
        <w:tc>
          <w:tcPr>
            <w:tcW w:w="5446" w:type="dxa"/>
            <w:tcBorders>
              <w:top w:val="single" w:color="000000" w:sz="2" w:space="0"/>
              <w:left w:val="single" w:color="000000" w:sz="2" w:space="0"/>
              <w:bottom w:val="single" w:color="000000" w:sz="2" w:space="0"/>
              <w:right w:val="nil"/>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设置应急事故专门记录，建档案和专门报告制度，设专门部门负责管理</w:t>
            </w:r>
          </w:p>
        </w:tc>
      </w:tr>
      <w:tr>
        <w:tblPrEx>
          <w:tblLayout w:type="fixed"/>
          <w:tblCellMar>
            <w:top w:w="0" w:type="dxa"/>
            <w:left w:w="0" w:type="dxa"/>
            <w:bottom w:w="0" w:type="dxa"/>
            <w:right w:w="0" w:type="dxa"/>
          </w:tblCellMar>
        </w:tblPrEx>
        <w:trPr>
          <w:trHeight w:val="299" w:hRule="exact"/>
        </w:trPr>
        <w:tc>
          <w:tcPr>
            <w:tcW w:w="817" w:type="dxa"/>
            <w:tcBorders>
              <w:top w:val="single" w:color="000000" w:sz="2" w:space="0"/>
              <w:left w:val="nil"/>
              <w:bottom w:val="single" w:color="000000" w:sz="10"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15</w:t>
            </w:r>
          </w:p>
        </w:tc>
        <w:tc>
          <w:tcPr>
            <w:tcW w:w="2276" w:type="dxa"/>
            <w:tcBorders>
              <w:top w:val="single" w:color="000000" w:sz="2" w:space="0"/>
              <w:left w:val="single" w:color="000000" w:sz="2" w:space="0"/>
              <w:bottom w:val="single" w:color="000000" w:sz="10" w:space="0"/>
              <w:right w:val="single" w:color="000000" w:sz="2" w:space="0"/>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附件</w:t>
            </w:r>
          </w:p>
        </w:tc>
        <w:tc>
          <w:tcPr>
            <w:tcW w:w="5446" w:type="dxa"/>
            <w:tcBorders>
              <w:top w:val="single" w:color="000000" w:sz="2" w:space="0"/>
              <w:left w:val="single" w:color="000000" w:sz="2" w:space="0"/>
              <w:bottom w:val="single" w:color="000000" w:sz="10" w:space="0"/>
              <w:right w:val="nil"/>
            </w:tcBorders>
            <w:vAlign w:val="center"/>
          </w:tcPr>
          <w:p>
            <w:pPr>
              <w:spacing w:line="240" w:lineRule="auto"/>
              <w:ind w:firstLine="0" w:firstLineChars="0"/>
              <w:jc w:val="center"/>
              <w:rPr>
                <w:rFonts w:ascii="Times New Roman" w:hAnsi="Times New Roman" w:cs="Times New Roman"/>
                <w:bCs/>
                <w:kern w:val="0"/>
                <w:sz w:val="21"/>
              </w:rPr>
            </w:pPr>
            <w:r>
              <w:rPr>
                <w:rFonts w:ascii="Times New Roman" w:hAnsi="Times New Roman" w:cs="Times New Roman"/>
                <w:bCs/>
                <w:kern w:val="0"/>
                <w:sz w:val="21"/>
              </w:rPr>
              <w:t>与应急事故有关的多种附件材料的准备和形成</w:t>
            </w:r>
          </w:p>
        </w:tc>
      </w:tr>
    </w:tbl>
    <w:p>
      <w:pPr>
        <w:spacing w:line="440" w:lineRule="exact"/>
        <w:ind w:firstLine="488"/>
        <w:rPr>
          <w:rFonts w:ascii="Times New Roman" w:hAnsi="Times New Roman" w:cs="Times New Roman"/>
          <w:spacing w:val="2"/>
          <w:kern w:val="0"/>
          <w:szCs w:val="24"/>
        </w:rPr>
      </w:pPr>
      <w:r>
        <w:rPr>
          <w:rFonts w:ascii="Times New Roman" w:hAnsi="Times New Roman" w:cs="Times New Roman"/>
          <w:spacing w:val="2"/>
          <w:kern w:val="0"/>
          <w:szCs w:val="24"/>
        </w:rPr>
        <w:t>1、粉尘事故防范措施</w:t>
      </w:r>
    </w:p>
    <w:p>
      <w:pPr>
        <w:spacing w:line="440" w:lineRule="exact"/>
        <w:ind w:firstLine="488"/>
        <w:rPr>
          <w:rFonts w:ascii="Times New Roman" w:hAnsi="Times New Roman" w:cs="Times New Roman"/>
          <w:spacing w:val="2"/>
          <w:kern w:val="0"/>
          <w:szCs w:val="24"/>
        </w:rPr>
      </w:pPr>
      <w:r>
        <w:rPr>
          <w:rFonts w:ascii="Times New Roman" w:hAnsi="Times New Roman" w:cs="Times New Roman"/>
          <w:spacing w:val="2"/>
          <w:kern w:val="0"/>
          <w:szCs w:val="24"/>
        </w:rPr>
        <w:t>（1）当主线或其他物料输送的布袋除尘器发生少量泄露时，上料系统立 即停止进料，抢险组配带好安全防护用具，以最快的速度找到泄露源，并立即 更换备件，同时组织人员疏通布袋除尘器及相关连接的管道，确保故障隐患的 消除。在故障消除之后进料时，应组织人员把现场的粉尘清理干净，并存放到 指定位置。</w:t>
      </w:r>
    </w:p>
    <w:p>
      <w:pPr>
        <w:spacing w:line="440" w:lineRule="exact"/>
        <w:ind w:firstLine="488"/>
        <w:rPr>
          <w:rFonts w:ascii="Times New Roman" w:hAnsi="Times New Roman" w:cs="Times New Roman"/>
          <w:spacing w:val="2"/>
          <w:kern w:val="0"/>
          <w:szCs w:val="24"/>
        </w:rPr>
      </w:pPr>
      <w:r>
        <w:rPr>
          <w:rFonts w:ascii="Times New Roman" w:hAnsi="Times New Roman" w:cs="Times New Roman"/>
          <w:spacing w:val="2"/>
          <w:kern w:val="0"/>
          <w:szCs w:val="24"/>
        </w:rPr>
        <w:t>（2）当主线或其他物料输送的布袋除尘器发生大量泄露时，投料机立即 停机，并立即停止与之相关的吸尘风机，抢险人员立即用编织袋封堵修漏口， 防止风力将造成扬尘污染环境，援助人员迅速将现场粉尘清理干净并做洒水处 理。抢险人员对泄露源进行修理，并疏通布袋除尘器及相关连接的管道，将参 与的粉尘清理干净。故障彻底排除后方可重新开机。</w:t>
      </w:r>
    </w:p>
    <w:p>
      <w:pPr>
        <w:spacing w:line="440" w:lineRule="exact"/>
        <w:ind w:firstLine="488"/>
        <w:rPr>
          <w:rFonts w:ascii="Times New Roman" w:hAnsi="Times New Roman" w:cs="Times New Roman"/>
          <w:spacing w:val="2"/>
          <w:kern w:val="0"/>
          <w:szCs w:val="24"/>
        </w:rPr>
      </w:pPr>
      <w:r>
        <w:rPr>
          <w:rFonts w:ascii="Times New Roman" w:hAnsi="Times New Roman" w:cs="Times New Roman"/>
          <w:spacing w:val="2"/>
          <w:kern w:val="0"/>
          <w:szCs w:val="24"/>
        </w:rPr>
        <w:t>2、爆炸事故防范措施</w:t>
      </w:r>
    </w:p>
    <w:p>
      <w:pPr>
        <w:spacing w:line="440" w:lineRule="exact"/>
        <w:ind w:firstLine="488"/>
        <w:rPr>
          <w:rFonts w:ascii="Times New Roman" w:hAnsi="Times New Roman" w:cs="Times New Roman"/>
          <w:spacing w:val="2"/>
          <w:kern w:val="0"/>
          <w:szCs w:val="24"/>
        </w:rPr>
      </w:pPr>
      <w:r>
        <w:rPr>
          <w:rFonts w:ascii="Times New Roman" w:hAnsi="Times New Roman" w:cs="Times New Roman"/>
          <w:spacing w:val="2"/>
          <w:kern w:val="0"/>
          <w:szCs w:val="24"/>
        </w:rPr>
        <w:t>（1）建立健全防火安全规章制度并严格执行 根据一些地区的经验，防火安全制度主要有以下几种：</w:t>
      </w:r>
    </w:p>
    <w:p>
      <w:pPr>
        <w:spacing w:line="440" w:lineRule="exact"/>
        <w:ind w:firstLine="488"/>
        <w:rPr>
          <w:rFonts w:ascii="Times New Roman" w:hAnsi="Times New Roman" w:cs="Times New Roman"/>
          <w:spacing w:val="2"/>
          <w:kern w:val="0"/>
          <w:szCs w:val="24"/>
        </w:rPr>
      </w:pPr>
      <w:r>
        <w:rPr>
          <w:rFonts w:hint="eastAsia" w:ascii="宋体" w:hAnsi="宋体" w:eastAsia="宋体" w:cs="宋体"/>
          <w:spacing w:val="2"/>
          <w:kern w:val="0"/>
          <w:szCs w:val="24"/>
        </w:rPr>
        <w:t>①</w:t>
      </w:r>
      <w:r>
        <w:rPr>
          <w:rFonts w:ascii="Times New Roman" w:hAnsi="Times New Roman" w:cs="Times New Roman"/>
          <w:spacing w:val="2"/>
          <w:kern w:val="0"/>
          <w:szCs w:val="24"/>
        </w:rPr>
        <w:t>安全员责任制度：主要把每个工作人员在业务上、工作上与消防安全管理上的职责、责任明确。</w:t>
      </w:r>
    </w:p>
    <w:p>
      <w:pPr>
        <w:spacing w:line="440" w:lineRule="exact"/>
        <w:ind w:firstLine="488"/>
        <w:rPr>
          <w:rFonts w:ascii="Times New Roman" w:hAnsi="Times New Roman" w:cs="Times New Roman"/>
          <w:spacing w:val="2"/>
          <w:kern w:val="0"/>
          <w:szCs w:val="24"/>
        </w:rPr>
      </w:pPr>
      <w:r>
        <w:rPr>
          <w:rFonts w:hint="eastAsia" w:ascii="宋体" w:hAnsi="宋体" w:eastAsia="宋体" w:cs="宋体"/>
          <w:spacing w:val="2"/>
          <w:kern w:val="0"/>
          <w:szCs w:val="24"/>
        </w:rPr>
        <w:t>②</w:t>
      </w:r>
      <w:r>
        <w:rPr>
          <w:rFonts w:ascii="Times New Roman" w:hAnsi="Times New Roman" w:cs="Times New Roman"/>
          <w:spacing w:val="2"/>
          <w:kern w:val="0"/>
          <w:szCs w:val="24"/>
        </w:rPr>
        <w:t>防火防爆制度：是对各类火种、火源和有散发火花危险的机械设备、作业活动，以及可燃、易燃物品等的控制和管理。</w:t>
      </w:r>
    </w:p>
    <w:p>
      <w:pPr>
        <w:spacing w:line="440" w:lineRule="exact"/>
        <w:ind w:firstLine="488"/>
        <w:rPr>
          <w:rFonts w:ascii="Times New Roman" w:hAnsi="Times New Roman" w:cs="Times New Roman"/>
          <w:spacing w:val="2"/>
          <w:kern w:val="0"/>
          <w:szCs w:val="24"/>
        </w:rPr>
      </w:pPr>
      <w:r>
        <w:rPr>
          <w:rFonts w:hint="eastAsia" w:ascii="宋体" w:hAnsi="宋体" w:eastAsia="宋体" w:cs="宋体"/>
          <w:spacing w:val="2"/>
          <w:kern w:val="0"/>
          <w:szCs w:val="24"/>
        </w:rPr>
        <w:t>③</w:t>
      </w:r>
      <w:r>
        <w:rPr>
          <w:rFonts w:ascii="Times New Roman" w:hAnsi="Times New Roman" w:cs="Times New Roman"/>
          <w:spacing w:val="2"/>
          <w:kern w:val="0"/>
          <w:szCs w:val="24"/>
        </w:rPr>
        <w:t>用火审批制度：在非固定点进行明火作业时，必须根据用火场所危险程度大小以及各级防火责任人，规定批准权限。</w:t>
      </w:r>
    </w:p>
    <w:p>
      <w:pPr>
        <w:spacing w:line="440" w:lineRule="exact"/>
        <w:ind w:firstLine="488"/>
        <w:rPr>
          <w:rFonts w:ascii="Times New Roman" w:hAnsi="Times New Roman" w:cs="Times New Roman"/>
          <w:spacing w:val="2"/>
          <w:kern w:val="0"/>
          <w:szCs w:val="24"/>
        </w:rPr>
      </w:pPr>
      <w:r>
        <w:rPr>
          <w:rFonts w:hint="eastAsia" w:ascii="宋体" w:hAnsi="宋体" w:eastAsia="宋体" w:cs="宋体"/>
          <w:spacing w:val="2"/>
          <w:kern w:val="0"/>
          <w:szCs w:val="24"/>
        </w:rPr>
        <w:t>④</w:t>
      </w:r>
      <w:r>
        <w:rPr>
          <w:rFonts w:ascii="Times New Roman" w:hAnsi="Times New Roman" w:cs="Times New Roman"/>
          <w:spacing w:val="2"/>
          <w:kern w:val="0"/>
          <w:szCs w:val="24"/>
        </w:rPr>
        <w:t>安全检查制度：各类储存容器、输送设备、安全设施、消防器材，进行各种日常的、定期的、专业的防火安全检查，并将发现的问题定人、限期落实整改。</w:t>
      </w:r>
    </w:p>
    <w:p>
      <w:pPr>
        <w:spacing w:line="440" w:lineRule="exact"/>
        <w:ind w:firstLine="488"/>
        <w:rPr>
          <w:rFonts w:ascii="Times New Roman" w:hAnsi="Times New Roman" w:cs="Times New Roman"/>
          <w:spacing w:val="2"/>
          <w:kern w:val="0"/>
          <w:szCs w:val="24"/>
        </w:rPr>
      </w:pPr>
      <w:r>
        <w:rPr>
          <w:rFonts w:hint="eastAsia" w:ascii="宋体" w:hAnsi="宋体" w:eastAsia="宋体" w:cs="宋体"/>
          <w:spacing w:val="2"/>
          <w:kern w:val="0"/>
          <w:szCs w:val="24"/>
        </w:rPr>
        <w:t>⑤</w:t>
      </w:r>
      <w:r>
        <w:rPr>
          <w:rFonts w:ascii="Times New Roman" w:hAnsi="Times New Roman" w:cs="Times New Roman"/>
          <w:spacing w:val="2"/>
          <w:kern w:val="0"/>
          <w:szCs w:val="24"/>
        </w:rPr>
        <w:t>其他安全制度：如外来人员和车辆入库制度，临时电线装接制度，夜间值班巡逻制度，火险、火警报告制度，安全奖惩制度等。</w:t>
      </w:r>
    </w:p>
    <w:p>
      <w:pPr>
        <w:spacing w:line="440" w:lineRule="exact"/>
        <w:ind w:firstLine="488"/>
        <w:rPr>
          <w:rFonts w:ascii="Times New Roman" w:hAnsi="Times New Roman" w:cs="Times New Roman"/>
          <w:spacing w:val="2"/>
          <w:kern w:val="0"/>
          <w:szCs w:val="24"/>
        </w:rPr>
      </w:pPr>
      <w:r>
        <w:rPr>
          <w:rFonts w:ascii="Times New Roman" w:hAnsi="Times New Roman" w:cs="Times New Roman"/>
          <w:spacing w:val="2"/>
          <w:kern w:val="0"/>
          <w:szCs w:val="24"/>
        </w:rPr>
        <w:t xml:space="preserve">（2）采取防火防爆措施 </w:t>
      </w:r>
    </w:p>
    <w:p>
      <w:pPr>
        <w:spacing w:line="440" w:lineRule="exact"/>
        <w:ind w:firstLine="488"/>
        <w:rPr>
          <w:rFonts w:ascii="Times New Roman" w:hAnsi="Times New Roman" w:cs="Times New Roman"/>
          <w:spacing w:val="2"/>
          <w:kern w:val="0"/>
          <w:szCs w:val="24"/>
        </w:rPr>
      </w:pPr>
      <w:r>
        <w:rPr>
          <w:rFonts w:ascii="Times New Roman" w:hAnsi="Times New Roman" w:cs="Times New Roman"/>
          <w:spacing w:val="2"/>
          <w:kern w:val="0"/>
          <w:szCs w:val="24"/>
        </w:rPr>
        <w:t>根据对上述火灾风险及影响的分析，针对可能造成的重大灾害性大气污染事件，提出如下事故防范措施：</w:t>
      </w:r>
    </w:p>
    <w:p>
      <w:pPr>
        <w:spacing w:line="440" w:lineRule="exact"/>
        <w:ind w:firstLine="488"/>
        <w:rPr>
          <w:rFonts w:ascii="Times New Roman" w:hAnsi="Times New Roman" w:cs="Times New Roman"/>
          <w:spacing w:val="2"/>
          <w:kern w:val="0"/>
          <w:szCs w:val="24"/>
        </w:rPr>
      </w:pPr>
      <w:r>
        <w:rPr>
          <w:rFonts w:hint="eastAsia" w:ascii="宋体" w:hAnsi="宋体" w:eastAsia="宋体" w:cs="宋体"/>
          <w:spacing w:val="2"/>
          <w:kern w:val="0"/>
          <w:szCs w:val="24"/>
        </w:rPr>
        <w:t>①</w:t>
      </w:r>
      <w:r>
        <w:rPr>
          <w:rFonts w:ascii="Times New Roman" w:hAnsi="Times New Roman" w:cs="Times New Roman"/>
          <w:spacing w:val="2"/>
          <w:kern w:val="0"/>
          <w:szCs w:val="24"/>
        </w:rPr>
        <w:t>合理分区，在防爆区内杜绝火源。</w:t>
      </w:r>
    </w:p>
    <w:p>
      <w:pPr>
        <w:spacing w:line="440" w:lineRule="exact"/>
        <w:ind w:firstLine="488"/>
        <w:rPr>
          <w:rFonts w:ascii="Times New Roman" w:hAnsi="Times New Roman" w:cs="Times New Roman"/>
          <w:spacing w:val="2"/>
          <w:kern w:val="0"/>
          <w:szCs w:val="24"/>
        </w:rPr>
      </w:pPr>
      <w:r>
        <w:rPr>
          <w:rFonts w:hint="eastAsia" w:ascii="宋体" w:hAnsi="宋体" w:eastAsia="宋体" w:cs="宋体"/>
          <w:spacing w:val="2"/>
          <w:kern w:val="0"/>
          <w:szCs w:val="24"/>
        </w:rPr>
        <w:t>②</w:t>
      </w:r>
      <w:r>
        <w:rPr>
          <w:rFonts w:ascii="Times New Roman" w:hAnsi="Times New Roman" w:cs="Times New Roman"/>
          <w:spacing w:val="2"/>
          <w:kern w:val="0"/>
          <w:szCs w:val="24"/>
        </w:rPr>
        <w:t>按照有关要求，新建工程的安全卫生设计，应充分考虑生产装置区与生活 区、防爆区与非防爆区之间的防火间距和安全卫生距离。</w:t>
      </w:r>
    </w:p>
    <w:p>
      <w:pPr>
        <w:spacing w:line="440" w:lineRule="exact"/>
        <w:ind w:firstLine="488"/>
        <w:rPr>
          <w:rFonts w:ascii="Times New Roman" w:hAnsi="Times New Roman" w:cs="Times New Roman"/>
          <w:spacing w:val="2"/>
          <w:kern w:val="0"/>
          <w:szCs w:val="24"/>
        </w:rPr>
      </w:pPr>
      <w:r>
        <w:rPr>
          <w:rFonts w:hint="eastAsia" w:ascii="宋体" w:hAnsi="宋体" w:eastAsia="宋体" w:cs="宋体"/>
          <w:spacing w:val="2"/>
          <w:kern w:val="0"/>
          <w:szCs w:val="24"/>
        </w:rPr>
        <w:t>③</w:t>
      </w:r>
      <w:r>
        <w:rPr>
          <w:rFonts w:ascii="Times New Roman" w:hAnsi="Times New Roman" w:cs="Times New Roman"/>
          <w:spacing w:val="2"/>
          <w:kern w:val="0"/>
          <w:szCs w:val="24"/>
        </w:rPr>
        <w:t>在易燃、易爆及有害气体存在的危险环境中，设置可燃气体或有毒气体检 测报警系统和灭火系统。</w:t>
      </w:r>
    </w:p>
    <w:p>
      <w:pPr>
        <w:spacing w:line="440" w:lineRule="exact"/>
        <w:ind w:firstLine="488"/>
        <w:rPr>
          <w:rFonts w:ascii="Times New Roman" w:hAnsi="Times New Roman" w:cs="Times New Roman"/>
          <w:spacing w:val="2"/>
          <w:kern w:val="0"/>
          <w:szCs w:val="24"/>
        </w:rPr>
      </w:pPr>
      <w:r>
        <w:rPr>
          <w:rFonts w:hint="eastAsia" w:ascii="宋体" w:hAnsi="宋体" w:eastAsia="宋体" w:cs="宋体"/>
          <w:spacing w:val="2"/>
          <w:kern w:val="0"/>
          <w:szCs w:val="24"/>
        </w:rPr>
        <w:t>④</w:t>
      </w:r>
      <w:r>
        <w:rPr>
          <w:rFonts w:ascii="Times New Roman" w:hAnsi="Times New Roman" w:cs="Times New Roman"/>
          <w:spacing w:val="2"/>
          <w:kern w:val="0"/>
          <w:szCs w:val="24"/>
        </w:rPr>
        <w:t>在爆炸危险区域内的照明、电机等电力装置的选型设计，结合其所在区域 的防爆等级，严格按照《爆炸和火灾危险环境电力装置设计规范》GB50058-92 的要求进行。</w:t>
      </w:r>
    </w:p>
    <w:p>
      <w:pPr>
        <w:spacing w:line="440" w:lineRule="exact"/>
        <w:ind w:firstLine="488"/>
        <w:rPr>
          <w:rFonts w:ascii="Times New Roman" w:hAnsi="Times New Roman" w:cs="Times New Roman"/>
          <w:spacing w:val="2"/>
          <w:kern w:val="0"/>
          <w:szCs w:val="24"/>
        </w:rPr>
      </w:pPr>
      <w:r>
        <w:rPr>
          <w:rFonts w:hint="eastAsia" w:ascii="宋体" w:hAnsi="宋体" w:eastAsia="宋体" w:cs="宋体"/>
          <w:spacing w:val="2"/>
          <w:kern w:val="0"/>
          <w:szCs w:val="24"/>
        </w:rPr>
        <w:t>⑤</w:t>
      </w:r>
      <w:r>
        <w:rPr>
          <w:rFonts w:ascii="Times New Roman" w:hAnsi="Times New Roman" w:cs="Times New Roman"/>
          <w:spacing w:val="2"/>
          <w:kern w:val="0"/>
          <w:szCs w:val="24"/>
        </w:rPr>
        <w:t>采取防静电、明火控制等措施。</w:t>
      </w:r>
    </w:p>
    <w:p>
      <w:pPr>
        <w:spacing w:line="440" w:lineRule="exact"/>
        <w:ind w:firstLine="488"/>
        <w:rPr>
          <w:rFonts w:ascii="Times New Roman" w:hAnsi="Times New Roman" w:cs="Times New Roman"/>
          <w:spacing w:val="2"/>
          <w:kern w:val="0"/>
          <w:szCs w:val="24"/>
        </w:rPr>
      </w:pPr>
      <w:r>
        <w:rPr>
          <w:rFonts w:ascii="Times New Roman" w:hAnsi="Times New Roman" w:cs="Times New Roman"/>
          <w:spacing w:val="2"/>
          <w:kern w:val="0"/>
          <w:szCs w:val="24"/>
        </w:rPr>
        <w:t>（3）设立报警系统 设置火灾探测器及报警灭火控制设施，以便在火灾的初期阶段发出报警，并</w:t>
      </w:r>
    </w:p>
    <w:p>
      <w:pPr>
        <w:spacing w:line="440" w:lineRule="exact"/>
        <w:ind w:firstLine="488"/>
        <w:rPr>
          <w:rFonts w:ascii="Times New Roman" w:hAnsi="Times New Roman" w:cs="Times New Roman"/>
          <w:spacing w:val="2"/>
          <w:kern w:val="0"/>
          <w:szCs w:val="24"/>
        </w:rPr>
      </w:pPr>
      <w:r>
        <w:rPr>
          <w:rFonts w:ascii="Times New Roman" w:hAnsi="Times New Roman" w:cs="Times New Roman"/>
          <w:spacing w:val="2"/>
          <w:kern w:val="0"/>
          <w:szCs w:val="24"/>
        </w:rPr>
        <w:t>及时采取措施进行扑救。在这些易发生火灾的岗位除采用 119 电话报警外，另设 置具有专用线路的火灾报警系统。</w:t>
      </w:r>
    </w:p>
    <w:p>
      <w:pPr>
        <w:spacing w:line="440" w:lineRule="exact"/>
        <w:ind w:firstLine="488"/>
        <w:rPr>
          <w:rFonts w:ascii="Times New Roman" w:hAnsi="Times New Roman" w:cs="Times New Roman"/>
          <w:spacing w:val="2"/>
          <w:kern w:val="0"/>
          <w:szCs w:val="24"/>
        </w:rPr>
      </w:pPr>
      <w:r>
        <w:rPr>
          <w:rFonts w:ascii="Times New Roman" w:hAnsi="Times New Roman" w:cs="Times New Roman"/>
          <w:spacing w:val="2"/>
          <w:kern w:val="0"/>
          <w:szCs w:val="24"/>
        </w:rPr>
        <w:t>4、行动反应程序</w:t>
      </w:r>
    </w:p>
    <w:p>
      <w:pPr>
        <w:spacing w:line="440" w:lineRule="exact"/>
        <w:ind w:firstLine="488"/>
        <w:rPr>
          <w:rFonts w:ascii="Times New Roman" w:hAnsi="Times New Roman" w:cs="Times New Roman"/>
          <w:sz w:val="20"/>
        </w:rPr>
      </w:pPr>
      <w:r>
        <w:rPr>
          <w:rFonts w:ascii="Times New Roman" w:hAnsi="Times New Roman" w:cs="Times New Roman"/>
          <w:spacing w:val="2"/>
          <w:kern w:val="0"/>
          <w:szCs w:val="24"/>
        </w:rPr>
        <w:t>应急行动反应程序见图4.2-1。</w:t>
      </w:r>
    </w:p>
    <w:p>
      <w:pPr>
        <w:widowControl/>
        <w:spacing w:line="240" w:lineRule="auto"/>
        <w:ind w:firstLine="0" w:firstLineChars="0"/>
        <w:jc w:val="center"/>
        <w:rPr>
          <w:rFonts w:ascii="Times New Roman" w:hAnsi="Times New Roman" w:cs="Times New Roman"/>
          <w:kern w:val="0"/>
          <w:szCs w:val="24"/>
        </w:rPr>
      </w:pPr>
      <w:r>
        <w:rPr>
          <w:rFonts w:ascii="Times New Roman" w:hAnsi="Times New Roman" w:cs="Times New Roman"/>
          <w:kern w:val="0"/>
          <w:szCs w:val="24"/>
        </w:rPr>
        <w:fldChar w:fldCharType="begin"/>
      </w:r>
      <w:r>
        <w:rPr>
          <w:rFonts w:ascii="Times New Roman" w:hAnsi="Times New Roman" w:cs="Times New Roman"/>
          <w:kern w:val="0"/>
          <w:szCs w:val="24"/>
        </w:rPr>
        <w:instrText xml:space="preserve"> INCLUDEPICTURE "C:\\Users\\Administrator\\AppData\\Roaming\\Tencent\\Users\\532983636\\QQ\\WinTemp\\RichOle\\TT%NH)_LRH2LXLLC@Q~1Z}2.png" \* MERGEFORMATINET </w:instrText>
      </w:r>
      <w:r>
        <w:rPr>
          <w:rFonts w:ascii="Times New Roman" w:hAnsi="Times New Roman" w:cs="Times New Roman"/>
          <w:kern w:val="0"/>
          <w:szCs w:val="24"/>
        </w:rPr>
        <w:fldChar w:fldCharType="separate"/>
      </w:r>
      <w:r>
        <w:rPr>
          <w:rFonts w:ascii="Times New Roman" w:hAnsi="Times New Roman" w:cs="Times New Roman"/>
          <w:kern w:val="0"/>
          <w:szCs w:val="24"/>
        </w:rPr>
        <w:drawing>
          <wp:inline distT="0" distB="0" distL="114300" distR="114300">
            <wp:extent cx="4962525" cy="2485390"/>
            <wp:effectExtent l="0" t="0" r="9525" b="10160"/>
            <wp:docPr id="167" name="图片 51" descr="TT%NH)_LRH2LXLLC@Q~1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51" descr="TT%NH)_LRH2LXLLC@Q~1Z}2"/>
                    <pic:cNvPicPr>
                      <a:picLocks noChangeAspect="1"/>
                    </pic:cNvPicPr>
                  </pic:nvPicPr>
                  <pic:blipFill>
                    <a:blip r:embed="rId62"/>
                    <a:stretch>
                      <a:fillRect/>
                    </a:stretch>
                  </pic:blipFill>
                  <pic:spPr>
                    <a:xfrm>
                      <a:off x="0" y="0"/>
                      <a:ext cx="4962525" cy="2485390"/>
                    </a:xfrm>
                    <a:prstGeom prst="rect">
                      <a:avLst/>
                    </a:prstGeom>
                    <a:noFill/>
                    <a:ln w="9525">
                      <a:noFill/>
                    </a:ln>
                  </pic:spPr>
                </pic:pic>
              </a:graphicData>
            </a:graphic>
          </wp:inline>
        </w:drawing>
      </w:r>
      <w:r>
        <w:rPr>
          <w:rFonts w:ascii="Times New Roman" w:hAnsi="Times New Roman" w:cs="Times New Roman"/>
          <w:kern w:val="0"/>
          <w:szCs w:val="24"/>
        </w:rPr>
        <w:fldChar w:fldCharType="end"/>
      </w:r>
    </w:p>
    <w:p>
      <w:pPr>
        <w:pStyle w:val="5"/>
        <w:kinsoku w:val="0"/>
        <w:overflowPunct w:val="0"/>
        <w:ind w:firstLine="400"/>
        <w:rPr>
          <w:rFonts w:ascii="Times New Roman" w:hAnsi="Times New Roman" w:cs="Times New Roman"/>
          <w:sz w:val="20"/>
        </w:rPr>
      </w:pPr>
    </w:p>
    <w:p>
      <w:pPr>
        <w:snapToGrid w:val="0"/>
        <w:spacing w:line="440" w:lineRule="exact"/>
        <w:ind w:firstLine="0" w:firstLineChars="0"/>
        <w:jc w:val="center"/>
        <w:rPr>
          <w:rFonts w:ascii="Times New Roman" w:hAnsi="Times New Roman" w:cs="Times New Roman"/>
          <w:snapToGrid w:val="0"/>
          <w:kern w:val="0"/>
          <w:szCs w:val="24"/>
        </w:rPr>
      </w:pPr>
      <w:r>
        <w:rPr>
          <w:rFonts w:ascii="Times New Roman" w:hAnsi="Times New Roman" w:cs="Times New Roman"/>
          <w:spacing w:val="2"/>
          <w:kern w:val="0"/>
          <w:szCs w:val="24"/>
        </w:rPr>
        <w:t>图4.2-1应急行动反应程序图</w:t>
      </w:r>
    </w:p>
    <w:p>
      <w:pPr>
        <w:snapToGrid w:val="0"/>
        <w:spacing w:line="440" w:lineRule="exact"/>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发生事故时，厂区各部门应按照各自职责分工进行现场应急处理，控制险情，同时上报园区管委会和园区内应急救援系统，若险情在厂区不能控制，及时请求园区应急救援专业组织支援，并和园区管理部门组织人员疏散。</w:t>
      </w:r>
    </w:p>
    <w:p>
      <w:pPr>
        <w:numPr>
          <w:ilvl w:val="2"/>
          <w:numId w:val="1"/>
        </w:numPr>
        <w:autoSpaceDE w:val="0"/>
        <w:autoSpaceDN w:val="0"/>
        <w:adjustRightInd w:val="0"/>
        <w:snapToGrid w:val="0"/>
        <w:spacing w:line="600" w:lineRule="exact"/>
        <w:ind w:left="0" w:firstLine="0" w:firstLineChars="0"/>
        <w:jc w:val="left"/>
        <w:textAlignment w:val="baseline"/>
        <w:outlineLvl w:val="2"/>
        <w:rPr>
          <w:rFonts w:ascii="Times New Roman" w:hAnsi="Times New Roman" w:eastAsia="黑体" w:cs="Times New Roman"/>
          <w:b/>
          <w:snapToGrid w:val="0"/>
          <w:kern w:val="0"/>
          <w:sz w:val="28"/>
          <w:szCs w:val="28"/>
        </w:rPr>
      </w:pPr>
      <w:r>
        <w:rPr>
          <w:rFonts w:ascii="Times New Roman" w:hAnsi="Times New Roman" w:eastAsia="黑体" w:cs="Times New Roman"/>
          <w:b/>
          <w:snapToGrid w:val="0"/>
          <w:kern w:val="0"/>
          <w:sz w:val="28"/>
          <w:szCs w:val="28"/>
        </w:rPr>
        <w:t>应急救援关闭</w:t>
      </w:r>
    </w:p>
    <w:p>
      <w:pPr>
        <w:spacing w:line="440" w:lineRule="exact"/>
        <w:ind w:firstLine="480"/>
        <w:rPr>
          <w:rFonts w:ascii="Times New Roman" w:hAnsi="Times New Roman" w:cs="Times New Roman"/>
        </w:rPr>
      </w:pPr>
      <w:r>
        <w:rPr>
          <w:rFonts w:ascii="Times New Roman" w:hAnsi="Times New Roman" w:cs="Times New Roman"/>
        </w:rPr>
        <w:t>（1）应急救援关闭程序待事故解除后，关闭应急救援程序。</w:t>
      </w:r>
    </w:p>
    <w:p>
      <w:pPr>
        <w:spacing w:line="440" w:lineRule="exact"/>
        <w:ind w:firstLine="480"/>
        <w:rPr>
          <w:rFonts w:ascii="Times New Roman" w:hAnsi="Times New Roman" w:cs="Times New Roman"/>
        </w:rPr>
      </w:pPr>
      <w:r>
        <w:rPr>
          <w:rFonts w:ascii="Times New Roman" w:hAnsi="Times New Roman" w:cs="Times New Roman"/>
        </w:rPr>
        <w:t>（2）事故调查和处理</w:t>
      </w:r>
    </w:p>
    <w:p>
      <w:pPr>
        <w:spacing w:line="440" w:lineRule="exact"/>
        <w:ind w:firstLine="480"/>
        <w:rPr>
          <w:rFonts w:ascii="Times New Roman" w:hAnsi="Times New Roman" w:cs="Times New Roman"/>
        </w:rPr>
      </w:pPr>
      <w:r>
        <w:rPr>
          <w:rFonts w:hint="eastAsia" w:ascii="宋体" w:hAnsi="宋体" w:eastAsia="宋体" w:cs="宋体"/>
        </w:rPr>
        <w:t>①</w:t>
      </w:r>
      <w:r>
        <w:rPr>
          <w:rFonts w:ascii="Times New Roman" w:hAnsi="Times New Roman" w:cs="Times New Roman"/>
        </w:rPr>
        <w:t>保护现场，协助配合相关部门调查事故原因及对环境造成的影响。</w:t>
      </w:r>
    </w:p>
    <w:p>
      <w:pPr>
        <w:spacing w:line="440" w:lineRule="exact"/>
        <w:ind w:firstLine="480"/>
        <w:rPr>
          <w:rFonts w:ascii="Times New Roman" w:hAnsi="Times New Roman" w:cs="Times New Roman"/>
        </w:rPr>
      </w:pPr>
      <w:r>
        <w:rPr>
          <w:rFonts w:hint="eastAsia" w:ascii="宋体" w:hAnsi="宋体" w:eastAsia="宋体" w:cs="宋体"/>
        </w:rPr>
        <w:t>②</w:t>
      </w:r>
      <w:r>
        <w:rPr>
          <w:rFonts w:ascii="Times New Roman" w:hAnsi="Times New Roman" w:cs="Times New Roman"/>
        </w:rPr>
        <w:t>组织力量迅速恢复投入到环境治理中，尽最大努力消除对环境的影响。</w:t>
      </w:r>
    </w:p>
    <w:p>
      <w:pPr>
        <w:numPr>
          <w:ilvl w:val="0"/>
          <w:numId w:val="2"/>
        </w:numPr>
        <w:spacing w:line="440" w:lineRule="exact"/>
        <w:ind w:firstLineChars="0"/>
        <w:rPr>
          <w:rFonts w:ascii="Times New Roman" w:hAnsi="Times New Roman" w:cs="Times New Roman"/>
        </w:rPr>
      </w:pPr>
      <w:r>
        <w:rPr>
          <w:rFonts w:ascii="Times New Roman" w:hAnsi="Times New Roman" w:cs="Times New Roman"/>
        </w:rPr>
        <w:t>落实四不放过原则，对环保事故的责任人严肃处理。</w:t>
      </w:r>
    </w:p>
    <w:p>
      <w:pPr>
        <w:numPr>
          <w:ilvl w:val="2"/>
          <w:numId w:val="1"/>
        </w:numPr>
        <w:autoSpaceDE w:val="0"/>
        <w:autoSpaceDN w:val="0"/>
        <w:adjustRightInd w:val="0"/>
        <w:snapToGrid w:val="0"/>
        <w:spacing w:line="600" w:lineRule="exact"/>
        <w:ind w:left="0" w:firstLine="0" w:firstLineChars="0"/>
        <w:jc w:val="left"/>
        <w:textAlignment w:val="baseline"/>
        <w:outlineLvl w:val="2"/>
        <w:rPr>
          <w:rFonts w:ascii="Times New Roman" w:hAnsi="Times New Roman" w:eastAsia="黑体" w:cs="Times New Roman"/>
          <w:b/>
          <w:snapToGrid w:val="0"/>
          <w:kern w:val="0"/>
          <w:sz w:val="28"/>
          <w:szCs w:val="28"/>
        </w:rPr>
      </w:pPr>
      <w:r>
        <w:rPr>
          <w:rFonts w:ascii="Times New Roman" w:hAnsi="Times New Roman" w:eastAsia="黑体" w:cs="Times New Roman"/>
          <w:b/>
          <w:snapToGrid w:val="0"/>
          <w:kern w:val="0"/>
          <w:sz w:val="28"/>
          <w:szCs w:val="28"/>
        </w:rPr>
        <w:t>应急教育、宣传、培训及应急演练计划</w:t>
      </w:r>
    </w:p>
    <w:p>
      <w:pPr>
        <w:spacing w:line="440" w:lineRule="exact"/>
        <w:ind w:firstLine="480"/>
        <w:rPr>
          <w:rFonts w:ascii="Times New Roman" w:hAnsi="Times New Roman" w:cs="Times New Roman"/>
        </w:rPr>
      </w:pPr>
      <w:r>
        <w:rPr>
          <w:rFonts w:ascii="Times New Roman" w:hAnsi="Times New Roman" w:cs="Times New Roman"/>
        </w:rPr>
        <w:t xml:space="preserve">（1）应急宣传 </w:t>
      </w:r>
    </w:p>
    <w:p>
      <w:pPr>
        <w:spacing w:line="440" w:lineRule="exact"/>
        <w:ind w:firstLine="480"/>
        <w:rPr>
          <w:rFonts w:ascii="Times New Roman" w:hAnsi="Times New Roman" w:cs="Times New Roman"/>
        </w:rPr>
      </w:pPr>
      <w:r>
        <w:rPr>
          <w:rFonts w:ascii="Times New Roman" w:hAnsi="Times New Roman" w:cs="Times New Roman"/>
        </w:rPr>
        <w:t>组织员工进行应急法律法规和预防、避险、自救、互救等常识的宣传教育。</w:t>
      </w:r>
    </w:p>
    <w:p>
      <w:pPr>
        <w:spacing w:line="440" w:lineRule="exact"/>
        <w:ind w:firstLine="480"/>
        <w:rPr>
          <w:rFonts w:ascii="Times New Roman" w:hAnsi="Times New Roman" w:cs="Times New Roman"/>
        </w:rPr>
      </w:pPr>
      <w:r>
        <w:rPr>
          <w:rFonts w:ascii="Times New Roman" w:hAnsi="Times New Roman" w:cs="Times New Roman"/>
        </w:rPr>
        <w:t>利用宣传栏等途径增强职工危机防备意识和应急基本知识和技能。制定《环境突发事件应急预案和手册》。制作环境突发事件应急预案一览表。</w:t>
      </w:r>
    </w:p>
    <w:p>
      <w:pPr>
        <w:spacing w:line="440" w:lineRule="exact"/>
        <w:ind w:firstLine="480"/>
        <w:rPr>
          <w:rFonts w:ascii="Times New Roman" w:hAnsi="Times New Roman" w:cs="Times New Roman"/>
        </w:rPr>
      </w:pPr>
      <w:r>
        <w:rPr>
          <w:rFonts w:ascii="Times New Roman" w:hAnsi="Times New Roman" w:cs="Times New Roman"/>
        </w:rPr>
        <w:t xml:space="preserve">（2）环境突发事件应急培训 </w:t>
      </w:r>
    </w:p>
    <w:p>
      <w:pPr>
        <w:spacing w:line="440" w:lineRule="exact"/>
        <w:ind w:firstLine="480"/>
        <w:rPr>
          <w:rFonts w:ascii="Times New Roman" w:hAnsi="Times New Roman" w:cs="Times New Roman"/>
        </w:rPr>
      </w:pPr>
      <w:r>
        <w:rPr>
          <w:rFonts w:ascii="Times New Roman" w:hAnsi="Times New Roman" w:cs="Times New Roman"/>
        </w:rPr>
        <w:t>开展面向职工的应对环境突发事件相关知识培训。将环境突发事件预防、应急指挥、综合协调等作为重要培训内容，以提高厂内人员应对环境突发事件的能力。并积极参加环保部门的相关培训活动。</w:t>
      </w:r>
    </w:p>
    <w:p>
      <w:pPr>
        <w:spacing w:line="440" w:lineRule="exact"/>
        <w:ind w:firstLine="480"/>
        <w:rPr>
          <w:rFonts w:ascii="Times New Roman" w:hAnsi="Times New Roman" w:cs="Times New Roman"/>
        </w:rPr>
      </w:pPr>
      <w:r>
        <w:rPr>
          <w:rFonts w:ascii="Times New Roman" w:hAnsi="Times New Roman" w:cs="Times New Roman"/>
        </w:rPr>
        <w:t xml:space="preserve">（3）环境突发事件应急演练 </w:t>
      </w:r>
    </w:p>
    <w:p>
      <w:pPr>
        <w:spacing w:line="440" w:lineRule="exact"/>
        <w:ind w:firstLine="480"/>
        <w:rPr>
          <w:rFonts w:ascii="Times New Roman" w:hAnsi="Times New Roman" w:cs="Times New Roman"/>
        </w:rPr>
      </w:pPr>
      <w:r>
        <w:rPr>
          <w:rFonts w:ascii="Times New Roman" w:hAnsi="Times New Roman" w:cs="Times New Roman"/>
        </w:rPr>
        <w:t>适时组织开展应急预案的演练，培训应急队伍、落实岗位责任、熟悉应急工作的指挥机制、决策、协调和处置程序，检验预案的可行性和改进应急预案。从而提高应急反应和处理能力，强化配合意识。</w:t>
      </w:r>
    </w:p>
    <w:p>
      <w:pPr>
        <w:spacing w:line="440" w:lineRule="exact"/>
        <w:ind w:firstLine="480"/>
        <w:rPr>
          <w:rFonts w:ascii="Times New Roman" w:hAnsi="Times New Roman" w:cs="Times New Roman"/>
        </w:rPr>
      </w:pPr>
      <w:r>
        <w:rPr>
          <w:rFonts w:ascii="Times New Roman" w:hAnsi="Times New Roman" w:cs="Times New Roman"/>
        </w:rPr>
        <w:t>环境突发事件的应急演练每年至少进行1~2次。</w:t>
      </w:r>
    </w:p>
    <w:p>
      <w:pPr>
        <w:numPr>
          <w:ilvl w:val="2"/>
          <w:numId w:val="1"/>
        </w:numPr>
        <w:autoSpaceDE w:val="0"/>
        <w:autoSpaceDN w:val="0"/>
        <w:adjustRightInd w:val="0"/>
        <w:snapToGrid w:val="0"/>
        <w:spacing w:line="600" w:lineRule="exact"/>
        <w:ind w:firstLineChars="0"/>
        <w:jc w:val="left"/>
        <w:textAlignment w:val="baseline"/>
        <w:outlineLvl w:val="2"/>
        <w:rPr>
          <w:rFonts w:ascii="Times New Roman" w:hAnsi="Times New Roman" w:eastAsia="黑体" w:cs="Times New Roman"/>
          <w:b/>
          <w:snapToGrid w:val="0"/>
          <w:kern w:val="0"/>
          <w:sz w:val="28"/>
          <w:szCs w:val="28"/>
        </w:rPr>
      </w:pPr>
      <w:r>
        <w:rPr>
          <w:rFonts w:ascii="Times New Roman" w:hAnsi="Times New Roman" w:eastAsia="黑体" w:cs="Times New Roman"/>
          <w:b/>
          <w:snapToGrid w:val="0"/>
          <w:kern w:val="0"/>
          <w:sz w:val="28"/>
          <w:szCs w:val="28"/>
        </w:rPr>
        <w:t>与开发区环境风险应急预案的衔接</w:t>
      </w:r>
    </w:p>
    <w:p>
      <w:pPr>
        <w:spacing w:line="440" w:lineRule="exact"/>
        <w:ind w:firstLine="480"/>
        <w:rPr>
          <w:rFonts w:ascii="Times New Roman" w:hAnsi="Times New Roman" w:cs="Times New Roman"/>
        </w:rPr>
      </w:pPr>
      <w:r>
        <w:rPr>
          <w:rFonts w:ascii="Times New Roman" w:hAnsi="Times New Roman" w:cs="Times New Roman"/>
        </w:rPr>
        <w:t xml:space="preserve">（1）应急组织机构、人员的衔接 </w:t>
      </w:r>
    </w:p>
    <w:p>
      <w:pPr>
        <w:spacing w:line="440" w:lineRule="exact"/>
        <w:ind w:firstLine="480"/>
        <w:rPr>
          <w:rFonts w:ascii="Times New Roman" w:hAnsi="Times New Roman" w:cs="Times New Roman"/>
        </w:rPr>
      </w:pPr>
      <w:r>
        <w:rPr>
          <w:rFonts w:ascii="Times New Roman" w:hAnsi="Times New Roman" w:cs="Times New Roman"/>
        </w:rPr>
        <w:t>当发生风险事故时，企业通讯联络小组应及时承担起与当地区域或各职能管理部门的应急指挥机构的联系工作，及时将事故发生情况及最新进展向有关部门汇报，并将上级指挥机构的命令及时向厂区应急指挥小组汇报；编制环境污染事 故报告，并将报告向上级部门汇报。</w:t>
      </w:r>
    </w:p>
    <w:p>
      <w:pPr>
        <w:spacing w:line="440" w:lineRule="exact"/>
        <w:ind w:firstLine="480"/>
        <w:rPr>
          <w:rFonts w:ascii="Times New Roman" w:hAnsi="Times New Roman" w:cs="Times New Roman"/>
        </w:rPr>
      </w:pPr>
      <w:r>
        <w:rPr>
          <w:rFonts w:ascii="Times New Roman" w:hAnsi="Times New Roman" w:cs="Times New Roman"/>
        </w:rPr>
        <w:t>（2）预案分级响应的衔接</w:t>
      </w:r>
    </w:p>
    <w:p>
      <w:pPr>
        <w:spacing w:line="440" w:lineRule="exact"/>
        <w:ind w:firstLine="480"/>
        <w:rPr>
          <w:rFonts w:ascii="Times New Roman" w:hAnsi="Times New Roman" w:cs="Times New Roman"/>
        </w:rPr>
      </w:pPr>
      <w:r>
        <w:rPr>
          <w:rFonts w:hint="eastAsia" w:ascii="宋体" w:hAnsi="宋体" w:eastAsia="宋体" w:cs="宋体"/>
        </w:rPr>
        <w:t>①</w:t>
      </w:r>
      <w:r>
        <w:rPr>
          <w:rFonts w:ascii="Times New Roman" w:hAnsi="Times New Roman" w:cs="Times New Roman"/>
        </w:rPr>
        <w:t>一般污染事故：在污染事故现场处置妥当后，经应急指挥小组研究确定后，向当地环保部门和园区事故应急处理指挥部报告处理结果。</w:t>
      </w:r>
    </w:p>
    <w:p>
      <w:pPr>
        <w:spacing w:line="440" w:lineRule="exact"/>
        <w:ind w:firstLine="480"/>
        <w:rPr>
          <w:rFonts w:ascii="Times New Roman" w:hAnsi="Times New Roman" w:cs="Times New Roman"/>
        </w:rPr>
      </w:pPr>
      <w:r>
        <w:rPr>
          <w:rFonts w:hint="eastAsia" w:ascii="宋体" w:hAnsi="宋体" w:eastAsia="宋体" w:cs="宋体"/>
        </w:rPr>
        <w:t>②</w:t>
      </w:r>
      <w:r>
        <w:rPr>
          <w:rFonts w:ascii="Times New Roman" w:hAnsi="Times New Roman" w:cs="Times New Roman"/>
        </w:rPr>
        <w:t>较大或严重污染事故：应急指挥小组在接到事故报警后，及时向六合开发区事故应急处理指挥部、南京市应急处理指挥部报告，并请求支援；园区应急处理指挥部进行紧急动员，适时启动区域的环境污染事故应急预案，迅速调集救援力量，指挥园区成员单位、相关职能部门，根据应急预案组成各个应急行动小组，按照各自的职责和现场救援具体方案开展抢险救援工作，厂内应急小组听从园区现场指挥部的领导。现场指挥部同时将有关进展情况向园区和南京市应急处理指挥部汇报；污染事故基本控制稳定后，现场应急指挥部将根据专家意见，迅速调集后援力量展开事故处置工作。现场应急处理结束。</w:t>
      </w:r>
    </w:p>
    <w:p>
      <w:pPr>
        <w:spacing w:line="440" w:lineRule="exact"/>
        <w:ind w:firstLine="480"/>
        <w:rPr>
          <w:rFonts w:ascii="Times New Roman" w:hAnsi="Times New Roman" w:cs="Times New Roman"/>
        </w:rPr>
      </w:pPr>
      <w:r>
        <w:rPr>
          <w:rFonts w:ascii="Times New Roman" w:hAnsi="Times New Roman" w:cs="Times New Roman"/>
        </w:rPr>
        <w:t>当污染事故又进一步扩大、发展趋势，或因事故衍生问题造成重大社会不稳定事态，现场应急指挥部将根据事态发展，及时调整应急响应级别，发布预警信息，同时向六合开发区、南京市应急处理指挥部和省环境污染事故应急处理指挥 部请求援助。</w:t>
      </w:r>
    </w:p>
    <w:p>
      <w:pPr>
        <w:spacing w:line="440" w:lineRule="exact"/>
        <w:ind w:firstLine="480"/>
        <w:rPr>
          <w:rFonts w:ascii="Times New Roman" w:hAnsi="Times New Roman" w:cs="Times New Roman"/>
        </w:rPr>
      </w:pPr>
      <w:r>
        <w:rPr>
          <w:rFonts w:ascii="Times New Roman" w:hAnsi="Times New Roman" w:cs="Times New Roman"/>
        </w:rPr>
        <w:t>（3）应急救援保障的衔接</w:t>
      </w:r>
    </w:p>
    <w:p>
      <w:pPr>
        <w:spacing w:line="440" w:lineRule="exact"/>
        <w:ind w:firstLine="480"/>
        <w:rPr>
          <w:rFonts w:ascii="Times New Roman" w:hAnsi="Times New Roman" w:cs="Times New Roman"/>
        </w:rPr>
      </w:pPr>
      <w:r>
        <w:rPr>
          <w:rFonts w:hint="eastAsia" w:ascii="宋体" w:hAnsi="宋体" w:eastAsia="宋体" w:cs="宋体"/>
        </w:rPr>
        <w:t>①</w:t>
      </w:r>
      <w:r>
        <w:rPr>
          <w:rFonts w:ascii="Times New Roman" w:hAnsi="Times New Roman" w:cs="Times New Roman"/>
        </w:rPr>
        <w:t>单位互助体系：建设单位和周边企业将建立良好的应急互助关系，在重大事故发生后，能够相互支援。</w:t>
      </w:r>
    </w:p>
    <w:p>
      <w:pPr>
        <w:spacing w:line="440" w:lineRule="exact"/>
        <w:ind w:firstLine="480"/>
        <w:rPr>
          <w:rFonts w:ascii="Times New Roman" w:hAnsi="Times New Roman" w:cs="Times New Roman"/>
        </w:rPr>
      </w:pPr>
      <w:r>
        <w:rPr>
          <w:rFonts w:hint="eastAsia" w:ascii="宋体" w:hAnsi="宋体" w:eastAsia="宋体" w:cs="宋体"/>
        </w:rPr>
        <w:t>②</w:t>
      </w:r>
      <w:r>
        <w:rPr>
          <w:rFonts w:ascii="Times New Roman" w:hAnsi="Times New Roman" w:cs="Times New Roman"/>
        </w:rPr>
        <w:t>公共援助力量：企业还可以联系南京市消防大队、医院、公安、交通、安监、环保以及各相关职能部门，请求救援力量、设备的支持。</w:t>
      </w:r>
    </w:p>
    <w:p>
      <w:pPr>
        <w:spacing w:line="440" w:lineRule="exact"/>
        <w:ind w:firstLine="480"/>
        <w:rPr>
          <w:rFonts w:ascii="Times New Roman" w:hAnsi="Times New Roman" w:cs="Times New Roman"/>
        </w:rPr>
      </w:pPr>
      <w:r>
        <w:rPr>
          <w:rFonts w:hint="eastAsia" w:ascii="宋体" w:hAnsi="宋体" w:eastAsia="宋体" w:cs="宋体"/>
        </w:rPr>
        <w:t>③</w:t>
      </w:r>
      <w:r>
        <w:rPr>
          <w:rFonts w:ascii="Times New Roman" w:hAnsi="Times New Roman" w:cs="Times New Roman"/>
        </w:rPr>
        <w:t>专家援助：全厂建立风险事故救援安全专家库，在紧急情况下，可以联系获取救援支持。</w:t>
      </w:r>
    </w:p>
    <w:p>
      <w:pPr>
        <w:spacing w:line="440" w:lineRule="exact"/>
        <w:ind w:firstLine="480"/>
        <w:rPr>
          <w:rFonts w:ascii="Times New Roman" w:hAnsi="Times New Roman" w:cs="Times New Roman"/>
        </w:rPr>
      </w:pPr>
      <w:r>
        <w:rPr>
          <w:rFonts w:ascii="Times New Roman" w:hAnsi="Times New Roman" w:cs="Times New Roman"/>
        </w:rPr>
        <w:t>（4）应急培训计划的衔接</w:t>
      </w:r>
    </w:p>
    <w:p>
      <w:pPr>
        <w:spacing w:line="440" w:lineRule="exact"/>
        <w:ind w:firstLine="480"/>
        <w:rPr>
          <w:rFonts w:ascii="Times New Roman" w:hAnsi="Times New Roman" w:cs="Times New Roman"/>
        </w:rPr>
      </w:pPr>
      <w:r>
        <w:rPr>
          <w:rFonts w:ascii="Times New Roman" w:hAnsi="Times New Roman" w:cs="Times New Roman"/>
        </w:rPr>
        <w:t>建设单位在开展应急培训计划的同时，还应积极配合园区开展的应急培训计划，在发生风险事故时，及时与园区应急组织取得联系。</w:t>
      </w:r>
    </w:p>
    <w:p>
      <w:pPr>
        <w:spacing w:line="440" w:lineRule="exact"/>
        <w:ind w:firstLine="480"/>
        <w:rPr>
          <w:rFonts w:ascii="Times New Roman" w:hAnsi="Times New Roman" w:cs="Times New Roman"/>
        </w:rPr>
      </w:pPr>
      <w:r>
        <w:rPr>
          <w:rFonts w:ascii="Times New Roman" w:hAnsi="Times New Roman" w:cs="Times New Roman"/>
        </w:rPr>
        <w:t xml:space="preserve">（5）公众教育的衔接 </w:t>
      </w:r>
    </w:p>
    <w:p>
      <w:pPr>
        <w:spacing w:line="440" w:lineRule="exact"/>
        <w:ind w:firstLine="480"/>
        <w:rPr>
          <w:rFonts w:ascii="Times New Roman" w:hAnsi="Times New Roman" w:cs="Times New Roman"/>
        </w:rPr>
      </w:pPr>
      <w:r>
        <w:rPr>
          <w:rFonts w:ascii="Times New Roman" w:hAnsi="Times New Roman" w:cs="Times New Roman"/>
        </w:rPr>
        <w:t>建设单位对厂内和附近地区公众开展教育、培训时，应加强与周边公众和六合经济开发区相关单位的交流，如发生事故，可更好的疏散、防护污染。</w:t>
      </w:r>
    </w:p>
    <w:p>
      <w:pPr>
        <w:spacing w:line="440" w:lineRule="exact"/>
        <w:ind w:firstLine="480"/>
        <w:rPr>
          <w:rFonts w:ascii="Times New Roman" w:hAnsi="Times New Roman" w:cs="Times New Roman"/>
        </w:rPr>
      </w:pPr>
    </w:p>
    <w:p>
      <w:pPr>
        <w:keepNext/>
        <w:keepLines/>
        <w:pageBreakBefore/>
        <w:numPr>
          <w:ilvl w:val="0"/>
          <w:numId w:val="1"/>
        </w:numPr>
        <w:autoSpaceDE w:val="0"/>
        <w:autoSpaceDN w:val="0"/>
        <w:adjustRightInd w:val="0"/>
        <w:spacing w:before="400" w:after="600" w:line="240" w:lineRule="auto"/>
        <w:ind w:firstLineChars="0"/>
        <w:jc w:val="center"/>
        <w:textAlignment w:val="baseline"/>
        <w:outlineLvl w:val="0"/>
        <w:rPr>
          <w:rFonts w:ascii="Times New Roman" w:hAnsi="Times New Roman" w:eastAsia="黑体" w:cs="Times New Roman"/>
          <w:b/>
          <w:bCs/>
          <w:sz w:val="36"/>
          <w:szCs w:val="36"/>
        </w:rPr>
      </w:pPr>
      <w:r>
        <w:rPr>
          <w:rFonts w:ascii="Times New Roman" w:hAnsi="Times New Roman" w:eastAsia="黑体" w:cs="Times New Roman"/>
          <w:b/>
          <w:bCs/>
          <w:sz w:val="36"/>
          <w:szCs w:val="36"/>
        </w:rPr>
        <w:t>结论与建议</w:t>
      </w:r>
    </w:p>
    <w:p>
      <w:pPr>
        <w:numPr>
          <w:ilvl w:val="1"/>
          <w:numId w:val="1"/>
        </w:numPr>
        <w:autoSpaceDE w:val="0"/>
        <w:autoSpaceDN w:val="0"/>
        <w:adjustRightInd w:val="0"/>
        <w:snapToGrid w:val="0"/>
        <w:spacing w:line="600" w:lineRule="exact"/>
        <w:ind w:left="1072" w:hanging="1072" w:firstLineChars="0"/>
        <w:jc w:val="left"/>
        <w:textAlignment w:val="baseline"/>
        <w:outlineLvl w:val="1"/>
        <w:rPr>
          <w:rFonts w:ascii="Times New Roman" w:hAnsi="Times New Roman" w:eastAsia="黑体" w:cs="Times New Roman"/>
          <w:b/>
          <w:bCs/>
          <w:sz w:val="30"/>
          <w:szCs w:val="32"/>
        </w:rPr>
      </w:pPr>
      <w:r>
        <w:rPr>
          <w:rFonts w:ascii="Times New Roman" w:hAnsi="Times New Roman" w:eastAsia="黑体" w:cs="Times New Roman"/>
          <w:b/>
          <w:bCs/>
          <w:sz w:val="30"/>
          <w:szCs w:val="32"/>
        </w:rPr>
        <w:t>有毒有害物质泄漏在大气中的扩散</w:t>
      </w:r>
    </w:p>
    <w:p>
      <w:pPr>
        <w:pStyle w:val="5"/>
        <w:kinsoku w:val="0"/>
        <w:overflowPunct w:val="0"/>
        <w:spacing w:before="35" w:line="350" w:lineRule="auto"/>
        <w:ind w:left="239" w:right="249" w:firstLine="488"/>
        <w:rPr>
          <w:rFonts w:ascii="Times New Roman" w:hAnsi="Times New Roman" w:cs="Times New Roman"/>
          <w:spacing w:val="2"/>
        </w:rPr>
      </w:pPr>
      <w:r>
        <w:rPr>
          <w:rFonts w:ascii="Times New Roman" w:hAnsi="Times New Roman" w:cs="Times New Roman"/>
          <w:spacing w:val="2"/>
        </w:rPr>
        <w:t>根据泄漏气体事故影响分析可知，事故状态下，泄漏的氟化氢均未达到未达到半致死浓度（大鼠吸入LC501044mg/m</w:t>
      </w:r>
      <w:r>
        <w:rPr>
          <w:rFonts w:ascii="Times New Roman" w:hAnsi="Times New Roman" w:cs="Times New Roman"/>
          <w:spacing w:val="2"/>
          <w:vertAlign w:val="superscript"/>
        </w:rPr>
        <w:t>3</w:t>
      </w:r>
      <w:r>
        <w:rPr>
          <w:rFonts w:ascii="Times New Roman" w:hAnsi="Times New Roman" w:cs="Times New Roman"/>
          <w:spacing w:val="2"/>
        </w:rPr>
        <w:t>）；但在有风条件下，E-F稳定度情况，氟化氢超过短时间接触浓度（车间浓度2mg/m</w:t>
      </w:r>
      <w:r>
        <w:rPr>
          <w:rFonts w:ascii="Times New Roman" w:hAnsi="Times New Roman" w:cs="Times New Roman"/>
          <w:spacing w:val="2"/>
          <w:vertAlign w:val="superscript"/>
        </w:rPr>
        <w:t>3</w:t>
      </w:r>
      <w:r>
        <w:rPr>
          <w:rFonts w:ascii="Times New Roman" w:hAnsi="Times New Roman" w:cs="Times New Roman"/>
          <w:spacing w:val="2"/>
        </w:rPr>
        <w:t>）限值，最大影响范围为8.8m</w:t>
      </w:r>
      <w:r>
        <w:rPr>
          <w:rFonts w:ascii="Times New Roman" w:hAnsi="Times New Roman" w:cs="Times New Roman"/>
          <w:w w:val="105"/>
        </w:rPr>
        <w:t>，对周围环境影响较小</w:t>
      </w:r>
      <w:r>
        <w:rPr>
          <w:rFonts w:ascii="Times New Roman" w:hAnsi="Times New Roman" w:cs="Times New Roman"/>
          <w:spacing w:val="2"/>
        </w:rPr>
        <w:t>。</w:t>
      </w:r>
    </w:p>
    <w:p>
      <w:pPr>
        <w:numPr>
          <w:ilvl w:val="1"/>
          <w:numId w:val="1"/>
        </w:numPr>
        <w:autoSpaceDE w:val="0"/>
        <w:autoSpaceDN w:val="0"/>
        <w:adjustRightInd w:val="0"/>
        <w:snapToGrid w:val="0"/>
        <w:spacing w:line="600" w:lineRule="exact"/>
        <w:ind w:left="1072" w:hanging="1072" w:firstLineChars="0"/>
        <w:jc w:val="left"/>
        <w:textAlignment w:val="baseline"/>
        <w:outlineLvl w:val="1"/>
        <w:rPr>
          <w:rFonts w:ascii="Times New Roman" w:hAnsi="Times New Roman" w:eastAsia="黑体" w:cs="Times New Roman"/>
          <w:b/>
          <w:bCs/>
          <w:sz w:val="30"/>
          <w:szCs w:val="32"/>
        </w:rPr>
      </w:pPr>
      <w:r>
        <w:rPr>
          <w:rFonts w:ascii="Times New Roman" w:hAnsi="Times New Roman" w:eastAsia="黑体" w:cs="Times New Roman"/>
          <w:b/>
          <w:bCs/>
          <w:sz w:val="30"/>
          <w:szCs w:val="32"/>
        </w:rPr>
        <w:t>火灾爆炸</w:t>
      </w:r>
    </w:p>
    <w:p>
      <w:pPr>
        <w:pStyle w:val="5"/>
        <w:kinsoku w:val="0"/>
        <w:overflowPunct w:val="0"/>
        <w:spacing w:before="35" w:line="350" w:lineRule="auto"/>
        <w:ind w:left="239" w:right="249" w:firstLine="488"/>
        <w:rPr>
          <w:rFonts w:ascii="Times New Roman" w:hAnsi="Times New Roman" w:cs="Times New Roman"/>
          <w:spacing w:val="2"/>
        </w:rPr>
      </w:pPr>
      <w:r>
        <w:rPr>
          <w:rFonts w:ascii="Times New Roman" w:hAnsi="Times New Roman" w:cs="Times New Roman"/>
          <w:spacing w:val="2"/>
        </w:rPr>
        <w:t>当电解液发生火灾爆炸事故，储存单元电解液储罐发生火灾时，死亡范围5.9m在厂区范围内，对厂区外影响较小。</w:t>
      </w:r>
    </w:p>
    <w:p>
      <w:pPr>
        <w:numPr>
          <w:ilvl w:val="1"/>
          <w:numId w:val="1"/>
        </w:numPr>
        <w:autoSpaceDE w:val="0"/>
        <w:autoSpaceDN w:val="0"/>
        <w:adjustRightInd w:val="0"/>
        <w:snapToGrid w:val="0"/>
        <w:spacing w:line="600" w:lineRule="exact"/>
        <w:ind w:left="1072" w:hanging="1072" w:firstLineChars="0"/>
        <w:jc w:val="left"/>
        <w:textAlignment w:val="baseline"/>
        <w:outlineLvl w:val="1"/>
        <w:rPr>
          <w:rFonts w:ascii="Times New Roman" w:hAnsi="Times New Roman" w:eastAsia="黑体" w:cs="Times New Roman"/>
          <w:b/>
          <w:bCs/>
          <w:sz w:val="30"/>
          <w:szCs w:val="32"/>
        </w:rPr>
      </w:pPr>
      <w:r>
        <w:rPr>
          <w:rFonts w:ascii="Times New Roman" w:hAnsi="Times New Roman" w:eastAsia="黑体" w:cs="Times New Roman"/>
          <w:b/>
          <w:bCs/>
          <w:sz w:val="30"/>
          <w:szCs w:val="32"/>
        </w:rPr>
        <w:t>危险物质在水体中的扩散</w:t>
      </w:r>
    </w:p>
    <w:p>
      <w:pPr>
        <w:pStyle w:val="5"/>
        <w:kinsoku w:val="0"/>
        <w:overflowPunct w:val="0"/>
        <w:spacing w:before="35" w:line="350" w:lineRule="auto"/>
        <w:ind w:left="239" w:right="249" w:firstLine="488"/>
        <w:rPr>
          <w:rFonts w:ascii="Times New Roman" w:hAnsi="Times New Roman" w:cs="Times New Roman"/>
          <w:spacing w:val="2"/>
        </w:rPr>
      </w:pPr>
      <w:r>
        <w:rPr>
          <w:rFonts w:ascii="Times New Roman" w:hAnsi="Times New Roman" w:cs="Times New Roman"/>
          <w:spacing w:val="2"/>
        </w:rPr>
        <w:t>建设单位危险化学品库在发生火灾事故时，所有废水废液由其四周设置的地沟妥善收集，进入事故池暂存，待事故结束后，对事故池内废水进行检测分析，根据水质情况拟定相应处理、处置措施，可有效防止污染物最终进入水体。</w:t>
      </w:r>
    </w:p>
    <w:p>
      <w:pPr>
        <w:pStyle w:val="5"/>
        <w:kinsoku w:val="0"/>
        <w:overflowPunct w:val="0"/>
        <w:spacing w:before="35" w:line="350" w:lineRule="auto"/>
        <w:ind w:left="239" w:right="249" w:firstLine="488"/>
        <w:rPr>
          <w:rFonts w:ascii="Times New Roman" w:hAnsi="Times New Roman" w:cs="Times New Roman"/>
          <w:spacing w:val="2"/>
        </w:rPr>
      </w:pPr>
      <w:r>
        <w:rPr>
          <w:rFonts w:ascii="Times New Roman" w:hAnsi="Times New Roman" w:cs="Times New Roman"/>
          <w:spacing w:val="2"/>
        </w:rPr>
        <w:t>综上所述，本项目污染物在采取了相应的应急措施后，可有效防止其扩散到 周围水体，并可以得到妥善处置。</w:t>
      </w:r>
    </w:p>
    <w:p>
      <w:pPr>
        <w:numPr>
          <w:ilvl w:val="1"/>
          <w:numId w:val="1"/>
        </w:numPr>
        <w:autoSpaceDE w:val="0"/>
        <w:autoSpaceDN w:val="0"/>
        <w:adjustRightInd w:val="0"/>
        <w:snapToGrid w:val="0"/>
        <w:spacing w:line="600" w:lineRule="exact"/>
        <w:ind w:left="1072" w:hanging="1072" w:firstLineChars="0"/>
        <w:jc w:val="left"/>
        <w:textAlignment w:val="baseline"/>
        <w:outlineLvl w:val="1"/>
        <w:rPr>
          <w:rFonts w:ascii="Times New Roman" w:hAnsi="Times New Roman" w:eastAsia="黑体" w:cs="Times New Roman"/>
          <w:b/>
          <w:bCs/>
          <w:sz w:val="30"/>
          <w:szCs w:val="32"/>
        </w:rPr>
      </w:pPr>
      <w:r>
        <w:rPr>
          <w:rFonts w:ascii="Times New Roman" w:hAnsi="Times New Roman" w:eastAsia="黑体" w:cs="Times New Roman"/>
          <w:b/>
          <w:bCs/>
          <w:sz w:val="30"/>
          <w:szCs w:val="32"/>
        </w:rPr>
        <w:t>风险管理</w:t>
      </w:r>
    </w:p>
    <w:p>
      <w:pPr>
        <w:spacing w:line="440" w:lineRule="exact"/>
        <w:ind w:firstLine="480"/>
        <w:rPr>
          <w:rFonts w:ascii="Times New Roman" w:hAnsi="Times New Roman" w:cs="Times New Roman"/>
        </w:rPr>
      </w:pPr>
      <w:r>
        <w:rPr>
          <w:rFonts w:ascii="Times New Roman" w:hAnsi="Times New Roman" w:cs="Times New Roman"/>
        </w:rPr>
        <w:t>本项目处于居民区周边，在风险管理方面，主要是在风险防范，管理、储存、运输过程中，污染治理系统事故预防措施等方面需做到以下几点：</w:t>
      </w:r>
    </w:p>
    <w:p>
      <w:pPr>
        <w:spacing w:line="440" w:lineRule="exact"/>
        <w:ind w:firstLine="480"/>
        <w:rPr>
          <w:rFonts w:ascii="Times New Roman" w:hAnsi="Times New Roman" w:cs="Times New Roman"/>
        </w:rPr>
      </w:pPr>
      <w:r>
        <w:rPr>
          <w:rFonts w:ascii="Times New Roman" w:hAnsi="Times New Roman" w:cs="Times New Roman"/>
        </w:rPr>
        <w:t>（1）切实加强对员工的安全和上岗培训教育，做到持证上岗，作业时严格按安全规程操作，杜绝违章作业。</w:t>
      </w:r>
    </w:p>
    <w:p>
      <w:pPr>
        <w:spacing w:line="440" w:lineRule="exact"/>
        <w:ind w:firstLine="480"/>
        <w:rPr>
          <w:rFonts w:ascii="Times New Roman" w:hAnsi="Times New Roman" w:cs="Times New Roman"/>
        </w:rPr>
      </w:pPr>
      <w:r>
        <w:rPr>
          <w:rFonts w:ascii="Times New Roman" w:hAnsi="Times New Roman" w:cs="Times New Roman"/>
        </w:rPr>
        <w:t>（2）加强设备、设施的维护保养，确保在用设备设施保持完好状态。防爆区域电气设施确保安全可靠。</w:t>
      </w:r>
    </w:p>
    <w:p>
      <w:pPr>
        <w:numPr>
          <w:ilvl w:val="1"/>
          <w:numId w:val="1"/>
        </w:numPr>
        <w:autoSpaceDE w:val="0"/>
        <w:autoSpaceDN w:val="0"/>
        <w:adjustRightInd w:val="0"/>
        <w:snapToGrid w:val="0"/>
        <w:spacing w:line="600" w:lineRule="exact"/>
        <w:ind w:left="1072" w:hanging="1072" w:firstLineChars="0"/>
        <w:jc w:val="left"/>
        <w:textAlignment w:val="baseline"/>
        <w:outlineLvl w:val="1"/>
        <w:rPr>
          <w:rFonts w:ascii="Times New Roman" w:hAnsi="Times New Roman" w:eastAsia="黑体" w:cs="Times New Roman"/>
          <w:b/>
          <w:bCs/>
          <w:sz w:val="30"/>
          <w:szCs w:val="32"/>
        </w:rPr>
      </w:pPr>
      <w:r>
        <w:rPr>
          <w:rFonts w:ascii="Times New Roman" w:hAnsi="Times New Roman" w:eastAsia="黑体" w:cs="Times New Roman"/>
          <w:b/>
          <w:bCs/>
          <w:sz w:val="30"/>
          <w:szCs w:val="32"/>
        </w:rPr>
        <w:t>结论</w:t>
      </w:r>
    </w:p>
    <w:p>
      <w:pPr>
        <w:pStyle w:val="5"/>
        <w:kinsoku w:val="0"/>
        <w:overflowPunct w:val="0"/>
        <w:spacing w:line="369" w:lineRule="auto"/>
        <w:ind w:right="134" w:firstLine="500"/>
        <w:rPr>
          <w:rFonts w:ascii="Times New Roman" w:hAnsi="Times New Roman" w:cs="Times New Roman"/>
        </w:rPr>
      </w:pPr>
      <w:r>
        <w:rPr>
          <w:rFonts w:ascii="Times New Roman" w:hAnsi="Times New Roman" w:cs="Times New Roman"/>
          <w:spacing w:val="5"/>
        </w:rPr>
        <w:t>根据风险分析结果，本项目风险类型为火灾、爆炸、尾气事故排放。发生</w:t>
      </w:r>
      <w:r>
        <w:rPr>
          <w:rFonts w:ascii="Times New Roman" w:hAnsi="Times New Roman" w:cs="Times New Roman"/>
          <w:spacing w:val="12"/>
        </w:rPr>
        <w:t>尾气事故排放情况时在最不利气象条件下，其影响的区域主要是在厂区范围</w:t>
      </w:r>
      <w:r>
        <w:rPr>
          <w:rFonts w:ascii="Times New Roman" w:hAnsi="Times New Roman" w:cs="Times New Roman"/>
          <w:w w:val="105"/>
        </w:rPr>
        <w:t>内，对外环境影响较小。</w:t>
      </w:r>
    </w:p>
    <w:p>
      <w:pPr>
        <w:pStyle w:val="5"/>
        <w:kinsoku w:val="0"/>
        <w:overflowPunct w:val="0"/>
        <w:spacing w:before="43" w:line="372" w:lineRule="auto"/>
        <w:ind w:right="134" w:firstLine="500"/>
        <w:rPr>
          <w:rFonts w:ascii="Times New Roman" w:hAnsi="Times New Roman" w:cs="Times New Roman"/>
        </w:rPr>
      </w:pPr>
      <w:r>
        <w:rPr>
          <w:rFonts w:ascii="Times New Roman" w:hAnsi="Times New Roman" w:cs="Times New Roman"/>
          <w:spacing w:val="5"/>
        </w:rPr>
        <w:t>通过风险防范措施的设立和应急预案的建立，可以较为有效的最大限度防治风险事故的发生和有效处置，并结合企业在下一步设计、运营过程中不断制定和完善的风险防范措施和应急预案。在落实风险管理的前提下，采取火灾、爆炸、尾气事故排放等事故预防管理措施和实施有效的事故应急处理预案的前</w:t>
      </w:r>
      <w:r>
        <w:rPr>
          <w:rFonts w:ascii="Times New Roman" w:hAnsi="Times New Roman" w:cs="Times New Roman"/>
          <w:w w:val="105"/>
        </w:rPr>
        <w:t>提下，事故的环境风险处于可接受水平。</w:t>
      </w:r>
    </w:p>
    <w:p>
      <w:pPr>
        <w:pStyle w:val="5"/>
        <w:kinsoku w:val="0"/>
        <w:overflowPunct w:val="0"/>
        <w:spacing w:before="40" w:line="374" w:lineRule="auto"/>
        <w:ind w:right="134" w:firstLine="476"/>
        <w:rPr>
          <w:rFonts w:ascii="Times New Roman" w:hAnsi="Times New Roman" w:cs="Times New Roman"/>
        </w:rPr>
      </w:pPr>
      <w:r>
        <w:rPr>
          <w:rFonts w:ascii="Times New Roman" w:hAnsi="Times New Roman" w:cs="Times New Roman"/>
          <w:spacing w:val="-1"/>
        </w:rPr>
        <w:t>项目运营期间为了防范事故和减少危害，需制定灾害事故的应急预案。当出现事故时，要采取紧急的工程应急措施，必要时，要采取社会应急措施，以控制</w:t>
      </w:r>
      <w:r>
        <w:rPr>
          <w:rFonts w:ascii="Times New Roman" w:hAnsi="Times New Roman" w:cs="Times New Roman"/>
          <w:w w:val="105"/>
        </w:rPr>
        <w:t>事故和减少对环境造成的危害。</w:t>
      </w:r>
    </w:p>
    <w:p>
      <w:pPr>
        <w:spacing w:line="440" w:lineRule="exact"/>
        <w:ind w:firstLine="602"/>
        <w:rPr>
          <w:rFonts w:ascii="Times New Roman" w:hAnsi="Times New Roman" w:eastAsia="黑体" w:cs="Times New Roman"/>
          <w:b/>
          <w:bCs/>
          <w:sz w:val="30"/>
          <w:szCs w:val="32"/>
        </w:rPr>
      </w:pPr>
    </w:p>
    <w:p>
      <w:pPr>
        <w:spacing w:line="240" w:lineRule="auto"/>
        <w:ind w:firstLine="0" w:firstLineChars="0"/>
        <w:rPr>
          <w:rFonts w:ascii="Times New Roman" w:hAnsi="Times New Roman" w:cs="Times New Roman"/>
          <w:sz w:val="10"/>
          <w:szCs w:val="10"/>
        </w:rPr>
      </w:pPr>
    </w:p>
    <w:p>
      <w:pPr>
        <w:ind w:firstLine="480"/>
        <w:rPr>
          <w:rFonts w:ascii="Times New Roman" w:hAnsi="Times New Roman" w:cs="Times New Roman"/>
        </w:rPr>
      </w:pPr>
      <w:bookmarkStart w:id="13" w:name="_GoBack"/>
      <w:bookmarkEnd w:id="13"/>
    </w:p>
    <w:sectPr>
      <w:pgSz w:w="11906" w:h="16838"/>
      <w:pgMar w:top="1418" w:right="1418" w:bottom="1418" w:left="1418" w:header="1020" w:footer="10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center"/>
    </w:pPr>
    <w:r>
      <w:fldChar w:fldCharType="begin"/>
    </w:r>
    <w:r>
      <w:instrText xml:space="preserve">PAGE   \* MERGEFORMAT</w:instrText>
    </w:r>
    <w:r>
      <w:fldChar w:fldCharType="separate"/>
    </w:r>
    <w:r>
      <w:rPr>
        <w:lang w:val="zh-CN"/>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center"/>
    </w:pPr>
  </w:p>
  <w:p>
    <w:pPr>
      <w:pStyle w:val="8"/>
      <w:ind w:firstLine="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center"/>
    </w:pPr>
    <w:r>
      <w:t>第</w:t>
    </w:r>
    <w:r>
      <w:fldChar w:fldCharType="begin"/>
    </w:r>
    <w:r>
      <w:instrText xml:space="preserve">PAGE   \* MERGEFORMAT</w:instrText>
    </w:r>
    <w:r>
      <w:fldChar w:fldCharType="separate"/>
    </w:r>
    <w:r>
      <w:rPr>
        <w:lang w:val="zh-CN"/>
      </w:rPr>
      <w:t>6</w:t>
    </w:r>
    <w:r>
      <w:fldChar w:fldCharType="end"/>
    </w:r>
    <w:r>
      <w:t>页</w:t>
    </w:r>
    <w:r>
      <w:rPr>
        <w:rFonts w:hint="eastAsia"/>
      </w:rPr>
      <w:t xml:space="preserve"> 共3</w:t>
    </w:r>
    <w:r>
      <w:t>5页</w:t>
    </w:r>
  </w:p>
  <w:p>
    <w:pPr>
      <w:pStyle w:val="8"/>
      <w:ind w:firstLine="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240" w:lineRule="auto"/>
      <w:ind w:firstLine="0" w:firstLineChars="0"/>
      <w:rPr>
        <w:sz w:val="15"/>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decimal"/>
      <w:lvlText w:val="第%1章 "/>
      <w:lvlJc w:val="left"/>
      <w:pPr>
        <w:ind w:left="709" w:hanging="567"/>
      </w:pPr>
      <w:rPr>
        <w:rFonts w:hint="eastAsia" w:ascii="黑体" w:hAnsi="黑体" w:eastAsia="黑体"/>
        <w:b/>
        <w:i w:val="0"/>
        <w:sz w:val="36"/>
        <w:szCs w:val="36"/>
      </w:rPr>
    </w:lvl>
    <w:lvl w:ilvl="1" w:tentative="0">
      <w:start w:val="1"/>
      <w:numFmt w:val="decimal"/>
      <w:lvlText w:val="%1.%2."/>
      <w:lvlJc w:val="left"/>
      <w:pPr>
        <w:tabs>
          <w:tab w:val="left" w:pos="1070"/>
        </w:tabs>
        <w:ind w:left="1070" w:hanging="737"/>
      </w:pPr>
      <w:rPr>
        <w:rFonts w:hint="default" w:ascii="黑体" w:hAnsi="黑体" w:eastAsia="黑体"/>
        <w:b/>
        <w:i w:val="0"/>
        <w:caps w:val="0"/>
        <w:strike w:val="0"/>
        <w:dstrike w:val="0"/>
        <w:vanish w:val="0"/>
        <w:sz w:val="30"/>
        <w:szCs w:val="30"/>
        <w:vertAlign w:val="baseline"/>
      </w:rPr>
    </w:lvl>
    <w:lvl w:ilvl="2" w:tentative="0">
      <w:start w:val="1"/>
      <w:numFmt w:val="decimal"/>
      <w:lvlText w:val="%1.%2.%3."/>
      <w:lvlJc w:val="left"/>
      <w:pPr>
        <w:tabs>
          <w:tab w:val="left" w:pos="1080"/>
        </w:tabs>
        <w:ind w:left="227" w:hanging="227"/>
      </w:pPr>
      <w:rPr>
        <w:rFonts w:hint="default" w:ascii="黑体" w:hAnsi="黑体" w:eastAsia="黑体"/>
        <w:b/>
        <w:i w:val="0"/>
        <w:sz w:val="28"/>
        <w:szCs w:val="28"/>
      </w:rPr>
    </w:lvl>
    <w:lvl w:ilvl="3" w:tentative="0">
      <w:start w:val="1"/>
      <w:numFmt w:val="decimal"/>
      <w:lvlText w:val="%1.%2.%3.%4."/>
      <w:lvlJc w:val="left"/>
      <w:pPr>
        <w:tabs>
          <w:tab w:val="left" w:pos="2315"/>
        </w:tabs>
        <w:ind w:left="1405" w:hanging="170"/>
      </w:pPr>
      <w:rPr>
        <w:rFonts w:hint="default" w:ascii="黑体" w:hAnsi="黑体" w:eastAsia="黑体"/>
        <w:b/>
        <w:i w:val="0"/>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7FE956DF"/>
    <w:multiLevelType w:val="multilevel"/>
    <w:tmpl w:val="7FE956DF"/>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E56FD"/>
    <w:rsid w:val="000312D7"/>
    <w:rsid w:val="00184946"/>
    <w:rsid w:val="0042593B"/>
    <w:rsid w:val="0053147F"/>
    <w:rsid w:val="00653C20"/>
    <w:rsid w:val="00892E91"/>
    <w:rsid w:val="00AC2507"/>
    <w:rsid w:val="00BD4A24"/>
    <w:rsid w:val="00BD7604"/>
    <w:rsid w:val="00DE024A"/>
    <w:rsid w:val="00E51ACF"/>
    <w:rsid w:val="00EC7EF7"/>
    <w:rsid w:val="15A26BF6"/>
    <w:rsid w:val="31A86B3F"/>
    <w:rsid w:val="39141A8A"/>
    <w:rsid w:val="3A4979A2"/>
    <w:rsid w:val="3BAD1BA5"/>
    <w:rsid w:val="3BCC4220"/>
    <w:rsid w:val="55C87B28"/>
    <w:rsid w:val="5D7E56FD"/>
    <w:rsid w:val="65697A97"/>
    <w:rsid w:val="6D535020"/>
    <w:rsid w:val="73BE1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qFormat/>
    <w:uiPriority w:val="0"/>
    <w:pPr>
      <w:keepNext/>
      <w:keepLines/>
      <w:pageBreakBefore/>
      <w:spacing w:line="240" w:lineRule="auto"/>
      <w:ind w:firstLine="0" w:firstLineChars="0"/>
      <w:outlineLvl w:val="0"/>
    </w:pPr>
    <w:rPr>
      <w:b/>
      <w:kern w:val="44"/>
      <w:sz w:val="28"/>
    </w:rPr>
  </w:style>
  <w:style w:type="paragraph" w:styleId="3">
    <w:name w:val="heading 4"/>
    <w:basedOn w:val="1"/>
    <w:next w:val="1"/>
    <w:semiHidden/>
    <w:unhideWhenUsed/>
    <w:qFormat/>
    <w:uiPriority w:val="0"/>
    <w:pPr>
      <w:keepNext/>
      <w:keepLines/>
      <w:adjustRightInd w:val="0"/>
      <w:spacing w:before="100" w:beforeLines="100" w:after="100" w:afterLines="100"/>
      <w:ind w:firstLine="0" w:firstLineChars="0"/>
      <w:textAlignment w:val="baseline"/>
      <w:outlineLvl w:val="3"/>
    </w:pPr>
    <w:rPr>
      <w:b/>
      <w:kern w:val="0"/>
      <w:sz w:val="28"/>
    </w:rPr>
  </w:style>
  <w:style w:type="character" w:default="1" w:styleId="10">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4">
    <w:name w:val="Normal Indent"/>
    <w:basedOn w:val="1"/>
    <w:uiPriority w:val="0"/>
    <w:rPr>
      <w:sz w:val="28"/>
    </w:rPr>
  </w:style>
  <w:style w:type="paragraph" w:styleId="5">
    <w:name w:val="Body Text"/>
    <w:basedOn w:val="1"/>
    <w:qFormat/>
    <w:uiPriority w:val="0"/>
    <w:pPr>
      <w:spacing w:line="240" w:lineRule="atLeast"/>
      <w:ind w:right="-154"/>
    </w:pPr>
    <w:rPr>
      <w:rFonts w:ascii="宋体"/>
    </w:rPr>
  </w:style>
  <w:style w:type="paragraph" w:styleId="6">
    <w:name w:val="Body Text Indent"/>
    <w:basedOn w:val="1"/>
    <w:qFormat/>
    <w:uiPriority w:val="0"/>
    <w:pPr>
      <w:ind w:firstLine="480"/>
    </w:pPr>
  </w:style>
  <w:style w:type="paragraph" w:styleId="7">
    <w:name w:val="Balloon Text"/>
    <w:basedOn w:val="1"/>
    <w:link w:val="18"/>
    <w:qFormat/>
    <w:uiPriority w:val="0"/>
    <w:pPr>
      <w:spacing w:line="240" w:lineRule="auto"/>
    </w:pPr>
    <w:rPr>
      <w:sz w:val="18"/>
      <w:szCs w:val="18"/>
    </w:rPr>
  </w:style>
  <w:style w:type="paragraph" w:styleId="8">
    <w:name w:val="footer"/>
    <w:basedOn w:val="1"/>
    <w:qFormat/>
    <w:uiPriority w:val="0"/>
    <w:pPr>
      <w:tabs>
        <w:tab w:val="center" w:pos="4153"/>
        <w:tab w:val="right" w:pos="8306"/>
      </w:tabs>
      <w:snapToGrid w:val="0"/>
      <w:jc w:val="left"/>
    </w:pPr>
    <w:rPr>
      <w:sz w:val="18"/>
      <w:szCs w:val="24"/>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2">
    <w:name w:val="新表"/>
    <w:basedOn w:val="1"/>
    <w:qFormat/>
    <w:uiPriority w:val="0"/>
    <w:pPr>
      <w:spacing w:line="320" w:lineRule="exact"/>
      <w:ind w:firstLine="0" w:firstLineChars="0"/>
      <w:jc w:val="center"/>
    </w:pPr>
    <w:rPr>
      <w:rFonts w:eastAsia="宋体"/>
      <w:bCs/>
      <w:sz w:val="21"/>
    </w:rPr>
  </w:style>
  <w:style w:type="paragraph" w:customStyle="1" w:styleId="13">
    <w:name w:val="表格编号"/>
    <w:basedOn w:val="1"/>
    <w:next w:val="14"/>
    <w:qFormat/>
    <w:uiPriority w:val="0"/>
    <w:pPr>
      <w:snapToGrid w:val="0"/>
      <w:spacing w:line="20" w:lineRule="atLeast"/>
      <w:jc w:val="left"/>
    </w:pPr>
    <w:rPr>
      <w:spacing w:val="10"/>
      <w:kern w:val="0"/>
      <w:sz w:val="21"/>
      <w:szCs w:val="24"/>
    </w:rPr>
  </w:style>
  <w:style w:type="paragraph" w:customStyle="1" w:styleId="14">
    <w:name w:val="表格文字"/>
    <w:basedOn w:val="1"/>
    <w:qFormat/>
    <w:uiPriority w:val="0"/>
    <w:pPr>
      <w:adjustRightInd w:val="0"/>
      <w:snapToGrid w:val="0"/>
      <w:jc w:val="center"/>
    </w:pPr>
    <w:rPr>
      <w:rFonts w:ascii="仿宋_GB2312" w:hAnsi="Arial Black" w:eastAsia="仿宋_GB2312"/>
      <w:kern w:val="44"/>
    </w:rPr>
  </w:style>
  <w:style w:type="paragraph" w:customStyle="1" w:styleId="15">
    <w:name w:val="Table Paragraph"/>
    <w:basedOn w:val="1"/>
    <w:qFormat/>
    <w:uiPriority w:val="1"/>
    <w:pPr>
      <w:autoSpaceDE w:val="0"/>
      <w:autoSpaceDN w:val="0"/>
      <w:adjustRightInd w:val="0"/>
      <w:jc w:val="left"/>
    </w:pPr>
    <w:rPr>
      <w:kern w:val="0"/>
      <w:szCs w:val="24"/>
    </w:rPr>
  </w:style>
  <w:style w:type="paragraph" w:customStyle="1" w:styleId="16">
    <w:name w:val="!正文"/>
    <w:qFormat/>
    <w:uiPriority w:val="0"/>
    <w:pPr>
      <w:spacing w:line="360" w:lineRule="auto"/>
      <w:jc w:val="both"/>
    </w:pPr>
    <w:rPr>
      <w:rFonts w:asciiTheme="minorHAnsi" w:hAnsiTheme="minorHAnsi" w:eastAsiaTheme="minorEastAsia" w:cstheme="minorBidi"/>
      <w:b/>
      <w:kern w:val="2"/>
      <w:sz w:val="24"/>
      <w:szCs w:val="24"/>
      <w:lang w:val="en-US" w:eastAsia="zh-CN" w:bidi="ar-SA"/>
    </w:rPr>
  </w:style>
  <w:style w:type="paragraph" w:customStyle="1" w:styleId="17">
    <w:name w:val="中文报告书样式"/>
    <w:basedOn w:val="1"/>
    <w:qFormat/>
    <w:uiPriority w:val="0"/>
    <w:pPr>
      <w:adjustRightInd w:val="0"/>
      <w:spacing w:line="480" w:lineRule="atLeast"/>
      <w:ind w:firstLine="482" w:firstLineChars="0"/>
      <w:textAlignment w:val="baseline"/>
    </w:pPr>
    <w:rPr>
      <w:kern w:val="24"/>
    </w:rPr>
  </w:style>
  <w:style w:type="character" w:customStyle="1" w:styleId="18">
    <w:name w:val="批注框文本 Char"/>
    <w:basedOn w:val="10"/>
    <w:link w:val="7"/>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5" Type="http://schemas.openxmlformats.org/officeDocument/2006/relationships/fontTable" Target="fontTable.xml"/><Relationship Id="rId64" Type="http://schemas.openxmlformats.org/officeDocument/2006/relationships/numbering" Target="numbering.xml"/><Relationship Id="rId63" Type="http://schemas.openxmlformats.org/officeDocument/2006/relationships/customXml" Target="../customXml/item1.xml"/><Relationship Id="rId62" Type="http://schemas.openxmlformats.org/officeDocument/2006/relationships/image" Target="media/image50.png"/><Relationship Id="rId61" Type="http://schemas.openxmlformats.org/officeDocument/2006/relationships/image" Target="media/image49.png"/><Relationship Id="rId60" Type="http://schemas.openxmlformats.org/officeDocument/2006/relationships/image" Target="media/image48.png"/><Relationship Id="rId6" Type="http://schemas.openxmlformats.org/officeDocument/2006/relationships/footer" Target="footer1.xml"/><Relationship Id="rId59" Type="http://schemas.openxmlformats.org/officeDocument/2006/relationships/image" Target="media/image47.png"/><Relationship Id="rId58" Type="http://schemas.openxmlformats.org/officeDocument/2006/relationships/image" Target="media/image46.png"/><Relationship Id="rId57" Type="http://schemas.openxmlformats.org/officeDocument/2006/relationships/image" Target="media/image45.png"/><Relationship Id="rId56" Type="http://schemas.openxmlformats.org/officeDocument/2006/relationships/image" Target="media/image44.png"/><Relationship Id="rId55" Type="http://schemas.openxmlformats.org/officeDocument/2006/relationships/image" Target="media/image43.png"/><Relationship Id="rId54" Type="http://schemas.openxmlformats.org/officeDocument/2006/relationships/image" Target="media/image42.png"/><Relationship Id="rId53" Type="http://schemas.openxmlformats.org/officeDocument/2006/relationships/image" Target="media/image41.png"/><Relationship Id="rId52" Type="http://schemas.openxmlformats.org/officeDocument/2006/relationships/image" Target="media/image40.png"/><Relationship Id="rId51" Type="http://schemas.openxmlformats.org/officeDocument/2006/relationships/image" Target="media/image39.png"/><Relationship Id="rId50" Type="http://schemas.openxmlformats.org/officeDocument/2006/relationships/image" Target="media/image38.png"/><Relationship Id="rId5" Type="http://schemas.openxmlformats.org/officeDocument/2006/relationships/header" Target="header3.xml"/><Relationship Id="rId49" Type="http://schemas.openxmlformats.org/officeDocument/2006/relationships/image" Target="media/image37.png"/><Relationship Id="rId48" Type="http://schemas.openxmlformats.org/officeDocument/2006/relationships/image" Target="media/image36.wmf"/><Relationship Id="rId47" Type="http://schemas.openxmlformats.org/officeDocument/2006/relationships/image" Target="media/image35.wmf"/><Relationship Id="rId46" Type="http://schemas.openxmlformats.org/officeDocument/2006/relationships/image" Target="media/image34.wmf"/><Relationship Id="rId45" Type="http://schemas.openxmlformats.org/officeDocument/2006/relationships/image" Target="media/image33.wmf"/><Relationship Id="rId44" Type="http://schemas.openxmlformats.org/officeDocument/2006/relationships/image" Target="media/image32.wmf"/><Relationship Id="rId43" Type="http://schemas.openxmlformats.org/officeDocument/2006/relationships/image" Target="media/image31.wmf"/><Relationship Id="rId42" Type="http://schemas.openxmlformats.org/officeDocument/2006/relationships/image" Target="media/image30.wmf"/><Relationship Id="rId41" Type="http://schemas.openxmlformats.org/officeDocument/2006/relationships/image" Target="media/image29.wmf"/><Relationship Id="rId40" Type="http://schemas.openxmlformats.org/officeDocument/2006/relationships/image" Target="media/image28.wmf"/><Relationship Id="rId4" Type="http://schemas.openxmlformats.org/officeDocument/2006/relationships/header" Target="header2.xml"/><Relationship Id="rId39" Type="http://schemas.openxmlformats.org/officeDocument/2006/relationships/image" Target="media/image27.wmf"/><Relationship Id="rId38" Type="http://schemas.openxmlformats.org/officeDocument/2006/relationships/image" Target="media/image26.wmf"/><Relationship Id="rId37" Type="http://schemas.openxmlformats.org/officeDocument/2006/relationships/image" Target="media/image25.wmf"/><Relationship Id="rId36" Type="http://schemas.openxmlformats.org/officeDocument/2006/relationships/image" Target="media/image24.wmf"/><Relationship Id="rId35" Type="http://schemas.openxmlformats.org/officeDocument/2006/relationships/image" Target="media/image23.wmf"/><Relationship Id="rId34" Type="http://schemas.openxmlformats.org/officeDocument/2006/relationships/image" Target="media/image22.wmf"/><Relationship Id="rId33" Type="http://schemas.openxmlformats.org/officeDocument/2006/relationships/image" Target="media/image21.wmf"/><Relationship Id="rId32" Type="http://schemas.openxmlformats.org/officeDocument/2006/relationships/image" Target="media/image20.wmf"/><Relationship Id="rId31" Type="http://schemas.openxmlformats.org/officeDocument/2006/relationships/image" Target="media/image19.wmf"/><Relationship Id="rId30" Type="http://schemas.openxmlformats.org/officeDocument/2006/relationships/image" Target="media/image18.wmf"/><Relationship Id="rId3" Type="http://schemas.openxmlformats.org/officeDocument/2006/relationships/header" Target="header1.xml"/><Relationship Id="rId29" Type="http://schemas.openxmlformats.org/officeDocument/2006/relationships/image" Target="media/image17.wmf"/><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wmf"/><Relationship Id="rId24" Type="http://schemas.openxmlformats.org/officeDocument/2006/relationships/image" Target="media/image12.wmf"/><Relationship Id="rId23" Type="http://schemas.openxmlformats.org/officeDocument/2006/relationships/image" Target="media/image11.wmf"/><Relationship Id="rId22" Type="http://schemas.openxmlformats.org/officeDocument/2006/relationships/image" Target="media/image10.wmf"/><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82</Pages>
  <Words>26000</Words>
  <Characters>28861</Characters>
  <Lines>2220</Lines>
  <Paragraphs>1567</Paragraphs>
  <TotalTime>0</TotalTime>
  <ScaleCrop>false</ScaleCrop>
  <LinksUpToDate>false</LinksUpToDate>
  <CharactersWithSpaces>53294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2018-04-16T11:02:00Z</dcterms:created>
  <dc:creator>何朝元</dc:creator>
  <cp:lastModifiedBy>徐</cp:lastModifiedBy>
  <dcterms:modified xsi:type="dcterms:W3CDTF">2018-04-17T06:17:20Z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